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3DABD">
      <w:pPr>
        <w:spacing w:before="305" w:line="235" w:lineRule="auto"/>
        <w:ind w:left="12" w:right="142" w:hanging="4"/>
        <w:rPr>
          <w:rFonts w:ascii="宋体" w:hAnsi="宋体" w:eastAsia="宋体" w:cs="宋体"/>
          <w:sz w:val="100"/>
          <w:szCs w:val="100"/>
        </w:rPr>
      </w:pPr>
      <w:r>
        <w:rPr>
          <w:rFonts w:ascii="宋体" w:hAnsi="宋体" w:eastAsia="宋体" w:cs="宋体"/>
          <w:b/>
          <w:bCs/>
          <w:color w:val="FF0000"/>
          <w:spacing w:val="-35"/>
          <w:w w:val="37"/>
          <w:sz w:val="100"/>
          <w:szCs w:val="100"/>
        </w:rPr>
        <w:t>聊城市哲学社会科学研究规划领导小组办公室</w:t>
      </w:r>
      <w:r>
        <w:rPr>
          <w:rFonts w:ascii="宋体" w:hAnsi="宋体" w:eastAsia="宋体" w:cs="宋体"/>
          <w:b/>
          <w:bCs/>
          <w:color w:val="FF0000"/>
          <w:spacing w:val="-58"/>
          <w:w w:val="68"/>
          <w:sz w:val="100"/>
          <w:szCs w:val="100"/>
        </w:rPr>
        <w:t>聊城市社会科学界联合会</w:t>
      </w:r>
    </w:p>
    <w:p w14:paraId="72DE1CFD">
      <w:pPr>
        <w:spacing w:line="379" w:lineRule="auto"/>
        <w:rPr>
          <w:rFonts w:ascii="Arial"/>
          <w:sz w:val="21"/>
        </w:rPr>
      </w:pPr>
    </w:p>
    <w:p w14:paraId="7DBC3657">
      <w:pPr>
        <w:pStyle w:val="2"/>
        <w:spacing w:before="101" w:line="223" w:lineRule="auto"/>
        <w:ind w:left="2582"/>
      </w:pPr>
      <w:r>
        <w:rPr>
          <w:spacing w:val="5"/>
        </w:rPr>
        <w:t>聊社规办字〔2026〕16</w:t>
      </w:r>
      <w:bookmarkStart w:id="0" w:name="_GoBack"/>
      <w:bookmarkEnd w:id="0"/>
      <w:r>
        <w:rPr>
          <w:spacing w:val="5"/>
        </w:rPr>
        <w:t>号</w:t>
      </w:r>
    </w:p>
    <w:p w14:paraId="59838A66">
      <w:pPr>
        <w:spacing w:before="729" w:line="214" w:lineRule="auto"/>
        <w:jc w:val="right"/>
        <w:rPr>
          <w:rFonts w:ascii="宋体" w:hAnsi="宋体" w:eastAsia="宋体" w:cs="宋体"/>
          <w:sz w:val="160"/>
          <w:szCs w:val="160"/>
        </w:rPr>
      </w:pPr>
      <w:r>
        <w:rPr>
          <w:rFonts w:ascii="宋体" w:hAnsi="宋体" w:eastAsia="宋体" w:cs="宋体"/>
          <w:b/>
          <w:bCs/>
          <w:color w:val="FF0000"/>
          <w:spacing w:val="-81"/>
          <w:w w:val="57"/>
          <w:sz w:val="160"/>
          <w:szCs w:val="160"/>
        </w:rPr>
        <w:t>文</w:t>
      </w:r>
      <w:r>
        <w:rPr>
          <w:rFonts w:ascii="宋体" w:hAnsi="宋体" w:eastAsia="宋体" w:cs="宋体"/>
          <w:b/>
          <w:bCs/>
          <w:color w:val="FF0000"/>
          <w:spacing w:val="-69"/>
          <w:w w:val="57"/>
          <w:sz w:val="160"/>
          <w:szCs w:val="160"/>
        </w:rPr>
        <w:t>件</w:t>
      </w:r>
    </w:p>
    <w:p w14:paraId="3CE97C7A">
      <w:pPr>
        <w:spacing w:line="214" w:lineRule="auto"/>
        <w:rPr>
          <w:rFonts w:ascii="宋体" w:hAnsi="宋体" w:eastAsia="宋体" w:cs="宋体"/>
          <w:sz w:val="160"/>
          <w:szCs w:val="160"/>
        </w:rPr>
        <w:sectPr>
          <w:footerReference r:id="rId5" w:type="default"/>
          <w:type w:val="continuous"/>
          <w:pgSz w:w="11906" w:h="16839"/>
          <w:pgMar w:top="1431" w:right="1309" w:bottom="1168" w:left="1586" w:header="0" w:footer="997" w:gutter="0"/>
          <w:cols w:equalWidth="0" w:num="2">
            <w:col w:w="7184" w:space="100"/>
            <w:col w:w="1727"/>
          </w:cols>
        </w:sectPr>
      </w:pPr>
    </w:p>
    <w:p w14:paraId="720D1354">
      <w:pPr>
        <w:spacing w:line="272" w:lineRule="auto"/>
        <w:rPr>
          <w:rFonts w:ascii="Arial"/>
          <w:sz w:val="21"/>
        </w:rPr>
      </w:pPr>
      <w:r>
        <w:pict>
          <v:shape id="_x0000_s1026" o:spid="_x0000_s1026" style="position:absolute;left:0pt;margin-left:0.5pt;margin-top:9.9pt;height:1.1pt;width:441pt;z-index:251659264;mso-width-relative:page;mso-height-relative:page;" filled="f" stroked="t" coordsize="8820,22" path="m0,10l180,10m180,10l360,10m360,10l540,10m540,10l720,10m720,10l900,10m900,10l1080,10m1080,10l1260,10m1260,10l1440,10m1440,10l1620,10m1620,10l1800,10m1800,10l1980,10m1980,10l2160,10m2160,10l2340,10m2340,10l2520,10m2520,10l2700,10m2700,10l2880,10m2880,10l3060,10m3060,10l3240,10m3240,10l3420,10m3420,10l3599,10m3599,10l3779,10m3779,10l3959,10m3959,10l4139,10m4139,10l4319,10m4319,10l4499,10m4499,10l4679,10m4679,10l4859,10m4859,10l5039,10m5039,10l5220,10m5220,10l5400,10m5400,10l5580,10m5580,10l5760,10m5760,10l5940,10m5940,10l6120,10m6120,10l6300,10m6300,10l6480,10m6480,10l6660,10m6660,10l6840,10m6840,10l7020,10m7020,10l7200,10m7200,10l7380,10m7380,10l7560,10m7560,10l7740,10m7740,10l7920,10m7920,10l8100,10m8100,10l8280,10m8280,10l8460,10m8460,10l8640,10m8640,10l8820,10e">
            <v:fill on="f" focussize="0,0"/>
            <v:stroke weight="1.08pt" color="#FF0000" miterlimit="2" joinstyle="bevel"/>
            <v:imagedata o:title=""/>
            <o:lock v:ext="edit"/>
          </v:shape>
        </w:pict>
      </w:r>
    </w:p>
    <w:p w14:paraId="1F9F0F63">
      <w:pPr>
        <w:spacing w:line="272" w:lineRule="auto"/>
        <w:rPr>
          <w:rFonts w:ascii="Arial"/>
          <w:sz w:val="21"/>
        </w:rPr>
      </w:pPr>
    </w:p>
    <w:p w14:paraId="259DD9D3">
      <w:pPr>
        <w:spacing w:line="273" w:lineRule="auto"/>
        <w:rPr>
          <w:rFonts w:ascii="Arial"/>
          <w:sz w:val="21"/>
        </w:rPr>
      </w:pPr>
    </w:p>
    <w:p w14:paraId="5687A362">
      <w:pPr>
        <w:spacing w:line="273" w:lineRule="auto"/>
        <w:rPr>
          <w:rFonts w:ascii="Arial"/>
          <w:sz w:val="21"/>
        </w:rPr>
      </w:pPr>
    </w:p>
    <w:p w14:paraId="0F43469F">
      <w:pPr>
        <w:spacing w:before="140" w:line="300" w:lineRule="auto"/>
        <w:ind w:left="653" w:right="905" w:firstLine="307"/>
        <w:outlineLvl w:val="0"/>
        <w:rPr>
          <w:rFonts w:ascii="宋体" w:hAnsi="宋体" w:eastAsia="宋体" w:cs="宋体"/>
          <w:sz w:val="43"/>
          <w:szCs w:val="43"/>
        </w:rPr>
      </w:pPr>
      <w:r>
        <w:rPr>
          <w:rFonts w:ascii="宋体" w:hAnsi="宋体" w:eastAsia="宋体" w:cs="宋体"/>
          <w:b/>
          <w:bCs/>
          <w:spacing w:val="2"/>
          <w:sz w:val="43"/>
          <w:szCs w:val="43"/>
        </w:rPr>
        <w:t>关于公布</w:t>
      </w:r>
      <w:r>
        <w:rPr>
          <w:rFonts w:ascii="宋体" w:hAnsi="宋体" w:eastAsia="宋体" w:cs="宋体"/>
          <w:spacing w:val="-83"/>
          <w:sz w:val="43"/>
          <w:szCs w:val="43"/>
        </w:rPr>
        <w:t xml:space="preserve"> </w:t>
      </w:r>
      <w:r>
        <w:rPr>
          <w:rFonts w:ascii="宋体" w:hAnsi="宋体" w:eastAsia="宋体" w:cs="宋体"/>
          <w:b/>
          <w:bCs/>
          <w:spacing w:val="2"/>
          <w:sz w:val="43"/>
          <w:szCs w:val="43"/>
        </w:rPr>
        <w:t>2025</w:t>
      </w:r>
      <w:r>
        <w:rPr>
          <w:rFonts w:ascii="宋体" w:hAnsi="宋体" w:eastAsia="宋体" w:cs="宋体"/>
          <w:spacing w:val="-95"/>
          <w:sz w:val="43"/>
          <w:szCs w:val="43"/>
        </w:rPr>
        <w:t xml:space="preserve"> </w:t>
      </w:r>
      <w:r>
        <w:rPr>
          <w:rFonts w:ascii="宋体" w:hAnsi="宋体" w:eastAsia="宋体" w:cs="宋体"/>
          <w:b/>
          <w:bCs/>
          <w:spacing w:val="2"/>
          <w:sz w:val="43"/>
          <w:szCs w:val="43"/>
        </w:rPr>
        <w:t>年度聊城市社科规划</w:t>
      </w:r>
      <w:r>
        <w:rPr>
          <w:rFonts w:ascii="宋体" w:hAnsi="宋体" w:eastAsia="宋体" w:cs="宋体"/>
          <w:b/>
          <w:bCs/>
          <w:spacing w:val="3"/>
          <w:sz w:val="43"/>
          <w:szCs w:val="43"/>
        </w:rPr>
        <w:t>“羡林学子”专项课题结项名单的通知</w:t>
      </w:r>
    </w:p>
    <w:p w14:paraId="2AA210E4">
      <w:pPr>
        <w:spacing w:line="272" w:lineRule="auto"/>
        <w:rPr>
          <w:rFonts w:ascii="Arial"/>
          <w:sz w:val="21"/>
        </w:rPr>
      </w:pPr>
    </w:p>
    <w:p w14:paraId="0ED792B5">
      <w:pPr>
        <w:spacing w:line="273" w:lineRule="auto"/>
        <w:rPr>
          <w:rFonts w:ascii="Arial"/>
          <w:sz w:val="21"/>
        </w:rPr>
      </w:pPr>
    </w:p>
    <w:p w14:paraId="38174139">
      <w:pPr>
        <w:pStyle w:val="2"/>
        <w:spacing w:before="101" w:line="221" w:lineRule="auto"/>
        <w:ind w:left="11"/>
      </w:pPr>
      <w:r>
        <w:rPr>
          <w:spacing w:val="7"/>
        </w:rPr>
        <w:t>各课题组、各有关单位：</w:t>
      </w:r>
    </w:p>
    <w:p w14:paraId="79D23E2A">
      <w:pPr>
        <w:pStyle w:val="2"/>
        <w:spacing w:before="222" w:line="358" w:lineRule="auto"/>
        <w:ind w:left="12" w:right="195" w:firstLine="642"/>
        <w:jc w:val="both"/>
      </w:pPr>
      <w:r>
        <w:rPr>
          <w:spacing w:val="4"/>
        </w:rPr>
        <w:t>按照《关于申报2025年度聊城市社科规划“羡林学子”专</w:t>
      </w:r>
      <w:r>
        <w:rPr>
          <w:spacing w:val="7"/>
        </w:rPr>
        <w:t>项课题的通知》（聊社规办字〔2025〕12号）、《聊城市哲学</w:t>
      </w:r>
      <w:r>
        <w:rPr>
          <w:spacing w:val="5"/>
        </w:rPr>
        <w:t>社会科学规划课题管理办法》（聊社规办字〔2020〕1号</w:t>
      </w:r>
      <w:r>
        <w:rPr>
          <w:spacing w:val="-28"/>
        </w:rPr>
        <w:t>），</w:t>
      </w:r>
      <w:r>
        <w:rPr>
          <w:spacing w:val="5"/>
        </w:rPr>
        <w:t>根</w:t>
      </w:r>
      <w:r>
        <w:rPr>
          <w:spacing w:val="-3"/>
        </w:rPr>
        <w:t>据专家审核意见，经研究，同意20项课题以“优秀”等级结项，</w:t>
      </w:r>
      <w:r>
        <w:rPr>
          <w:spacing w:val="4"/>
        </w:rPr>
        <w:t>其中重点课题5项、一般课题15项。现予以公布。</w:t>
      </w:r>
    </w:p>
    <w:p w14:paraId="6139FF43">
      <w:pPr>
        <w:pStyle w:val="2"/>
        <w:spacing w:before="6" w:line="323" w:lineRule="auto"/>
        <w:ind w:left="4" w:right="267" w:firstLine="463"/>
      </w:pPr>
      <w:r>
        <w:rPr>
          <w:spacing w:val="-4"/>
        </w:rPr>
        <w:t>《聊城市社科规划课题推广转化跟进服务办法》（聊社规办字</w:t>
      </w:r>
      <w:r>
        <w:rPr>
          <w:spacing w:val="8"/>
        </w:rPr>
        <w:t>〔2023〕20号）明确要求，对课题结项后的研究成果进一步推</w:t>
      </w:r>
      <w:r>
        <w:rPr>
          <w:spacing w:val="14"/>
        </w:rPr>
        <w:t>广转化取得的显著成效，各课题组或有关部门（单位）应于1</w:t>
      </w:r>
      <w:r>
        <w:rPr>
          <w:spacing w:val="13"/>
        </w:rPr>
        <w:t>个月内向市社科联报告，并按要求提供有关资料和详细信息。</w:t>
      </w:r>
      <w:r>
        <w:rPr>
          <w:spacing w:val="-2"/>
        </w:rPr>
        <w:t>经审核属实的，按有关规定给予相应表扬奖励。</w:t>
      </w:r>
    </w:p>
    <w:p w14:paraId="0E2AD438">
      <w:pPr>
        <w:spacing w:line="323" w:lineRule="auto"/>
        <w:sectPr>
          <w:type w:val="continuous"/>
          <w:pgSz w:w="11906" w:h="16839"/>
          <w:pgMar w:top="1431" w:right="1309" w:bottom="1168" w:left="1586" w:header="0" w:footer="997" w:gutter="0"/>
          <w:cols w:equalWidth="0" w:num="1">
            <w:col w:w="9011"/>
          </w:cols>
        </w:sectPr>
      </w:pPr>
    </w:p>
    <w:p w14:paraId="3FC97371">
      <w:pPr>
        <w:spacing w:line="263" w:lineRule="auto"/>
        <w:rPr>
          <w:rFonts w:ascii="Arial"/>
          <w:sz w:val="21"/>
        </w:rPr>
      </w:pPr>
    </w:p>
    <w:p w14:paraId="241C7417">
      <w:pPr>
        <w:spacing w:line="263" w:lineRule="auto"/>
        <w:rPr>
          <w:rFonts w:ascii="Arial"/>
          <w:sz w:val="21"/>
        </w:rPr>
      </w:pPr>
    </w:p>
    <w:p w14:paraId="6C5C090B">
      <w:pPr>
        <w:spacing w:line="263" w:lineRule="auto"/>
        <w:rPr>
          <w:rFonts w:ascii="Arial"/>
          <w:sz w:val="21"/>
        </w:rPr>
      </w:pPr>
    </w:p>
    <w:p w14:paraId="6F7E2393">
      <w:pPr>
        <w:spacing w:line="264" w:lineRule="auto"/>
        <w:rPr>
          <w:rFonts w:ascii="Arial"/>
          <w:sz w:val="21"/>
        </w:rPr>
      </w:pPr>
    </w:p>
    <w:p w14:paraId="6D903542">
      <w:pPr>
        <w:spacing w:before="133" w:line="280" w:lineRule="auto"/>
        <w:ind w:left="1417" w:right="153" w:hanging="946"/>
        <w:rPr>
          <w:rFonts w:ascii="微软雅黑" w:hAnsi="微软雅黑" w:eastAsia="微软雅黑" w:cs="微软雅黑"/>
          <w:sz w:val="31"/>
          <w:szCs w:val="31"/>
        </w:rPr>
      </w:pPr>
      <w:r>
        <w:rPr>
          <w:rFonts w:ascii="微软雅黑" w:hAnsi="微软雅黑" w:eastAsia="微软雅黑" w:cs="微软雅黑"/>
          <w:sz w:val="31"/>
          <w:szCs w:val="31"/>
        </w:rPr>
        <w:t>附件：2025 年度聊城市社科规划“</w:t>
      </w:r>
      <w:r>
        <w:rPr>
          <w:rFonts w:ascii="微软雅黑" w:hAnsi="微软雅黑" w:eastAsia="微软雅黑" w:cs="微软雅黑"/>
          <w:spacing w:val="-48"/>
          <w:sz w:val="31"/>
          <w:szCs w:val="31"/>
        </w:rPr>
        <w:t xml:space="preserve"> </w:t>
      </w:r>
      <w:r>
        <w:rPr>
          <w:rFonts w:ascii="微软雅黑" w:hAnsi="微软雅黑" w:eastAsia="微软雅黑" w:cs="微软雅黑"/>
          <w:sz w:val="31"/>
          <w:szCs w:val="31"/>
        </w:rPr>
        <w:t>羡林学子”</w:t>
      </w:r>
      <w:r>
        <w:rPr>
          <w:rFonts w:ascii="微软雅黑" w:hAnsi="微软雅黑" w:eastAsia="微软雅黑" w:cs="微软雅黑"/>
          <w:spacing w:val="-66"/>
          <w:sz w:val="31"/>
          <w:szCs w:val="31"/>
        </w:rPr>
        <w:t xml:space="preserve"> </w:t>
      </w:r>
      <w:r>
        <w:rPr>
          <w:rFonts w:ascii="微软雅黑" w:hAnsi="微软雅黑" w:eastAsia="微软雅黑" w:cs="微软雅黑"/>
          <w:sz w:val="31"/>
          <w:szCs w:val="31"/>
        </w:rPr>
        <w:t>专项课题</w:t>
      </w:r>
      <w:r>
        <w:rPr>
          <w:rFonts w:ascii="微软雅黑" w:hAnsi="微软雅黑" w:eastAsia="微软雅黑" w:cs="微软雅黑"/>
          <w:spacing w:val="4"/>
          <w:sz w:val="31"/>
          <w:szCs w:val="31"/>
        </w:rPr>
        <w:t>结项名单</w:t>
      </w:r>
    </w:p>
    <w:p w14:paraId="2254D7D2">
      <w:pPr>
        <w:spacing w:line="261" w:lineRule="auto"/>
        <w:rPr>
          <w:rFonts w:ascii="Arial"/>
          <w:sz w:val="21"/>
        </w:rPr>
      </w:pPr>
    </w:p>
    <w:p w14:paraId="3A0FFB0A">
      <w:pPr>
        <w:spacing w:line="261" w:lineRule="auto"/>
        <w:rPr>
          <w:rFonts w:ascii="Arial"/>
          <w:sz w:val="21"/>
        </w:rPr>
      </w:pPr>
    </w:p>
    <w:p w14:paraId="7A62B12A">
      <w:pPr>
        <w:spacing w:line="261" w:lineRule="auto"/>
        <w:rPr>
          <w:rFonts w:ascii="Arial"/>
          <w:sz w:val="21"/>
        </w:rPr>
      </w:pPr>
    </w:p>
    <w:p w14:paraId="247D0759">
      <w:pPr>
        <w:spacing w:line="261" w:lineRule="auto"/>
        <w:rPr>
          <w:rFonts w:ascii="Arial"/>
          <w:sz w:val="21"/>
        </w:rPr>
      </w:pPr>
    </w:p>
    <w:p w14:paraId="0FF53ED2">
      <w:pPr>
        <w:spacing w:line="261" w:lineRule="auto"/>
        <w:rPr>
          <w:rFonts w:ascii="Arial"/>
          <w:sz w:val="21"/>
        </w:rPr>
      </w:pPr>
    </w:p>
    <w:p w14:paraId="59E11578">
      <w:pPr>
        <w:spacing w:line="261" w:lineRule="auto"/>
        <w:rPr>
          <w:rFonts w:ascii="Arial"/>
          <w:sz w:val="21"/>
        </w:rPr>
      </w:pPr>
    </w:p>
    <w:p w14:paraId="40B3DD25">
      <w:pPr>
        <w:pStyle w:val="2"/>
        <w:spacing w:before="101" w:line="327" w:lineRule="auto"/>
        <w:ind w:left="1640" w:right="294" w:firstLine="16"/>
      </w:pPr>
      <w:r>
        <w:drawing>
          <wp:anchor distT="0" distB="0" distL="0" distR="0" simplePos="0" relativeHeight="251661312" behindDoc="1" locked="0" layoutInCell="1" allowOverlap="1">
            <wp:simplePos x="0" y="0"/>
            <wp:positionH relativeFrom="column">
              <wp:posOffset>1378585</wp:posOffset>
            </wp:positionH>
            <wp:positionV relativeFrom="paragraph">
              <wp:posOffset>-316230</wp:posOffset>
            </wp:positionV>
            <wp:extent cx="1614170" cy="157289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1613916" cy="1572768"/>
                    </a:xfrm>
                    <a:prstGeom prst="rect">
                      <a:avLst/>
                    </a:prstGeom>
                  </pic:spPr>
                </pic:pic>
              </a:graphicData>
            </a:graphic>
          </wp:anchor>
        </w:drawing>
      </w:r>
      <w:r>
        <w:drawing>
          <wp:anchor distT="0" distB="0" distL="0" distR="0" simplePos="0" relativeHeight="251660288" behindDoc="1" locked="0" layoutInCell="1" allowOverlap="1">
            <wp:simplePos x="0" y="0"/>
            <wp:positionH relativeFrom="column">
              <wp:posOffset>3184525</wp:posOffset>
            </wp:positionH>
            <wp:positionV relativeFrom="paragraph">
              <wp:posOffset>-276225</wp:posOffset>
            </wp:positionV>
            <wp:extent cx="1527175" cy="152717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
                    <a:stretch>
                      <a:fillRect/>
                    </a:stretch>
                  </pic:blipFill>
                  <pic:spPr>
                    <a:xfrm>
                      <a:off x="0" y="0"/>
                      <a:ext cx="1527047" cy="1527047"/>
                    </a:xfrm>
                    <a:prstGeom prst="rect">
                      <a:avLst/>
                    </a:prstGeom>
                  </pic:spPr>
                </pic:pic>
              </a:graphicData>
            </a:graphic>
          </wp:anchor>
        </w:drawing>
      </w:r>
      <w:r>
        <w:rPr>
          <w:spacing w:val="9"/>
        </w:rPr>
        <w:t>聊城市哲学社会科学研究规划领导小组办公室</w:t>
      </w:r>
      <w:r>
        <w:rPr>
          <w:spacing w:val="-4"/>
        </w:rPr>
        <w:t>聊</w:t>
      </w:r>
      <w:r>
        <w:rPr>
          <w:spacing w:val="146"/>
        </w:rPr>
        <w:t xml:space="preserve"> </w:t>
      </w:r>
      <w:r>
        <w:rPr>
          <w:spacing w:val="-4"/>
        </w:rPr>
        <w:t>城  市  社  会  科  学  界  联  合</w:t>
      </w:r>
      <w:r>
        <w:rPr>
          <w:spacing w:val="153"/>
        </w:rPr>
        <w:t xml:space="preserve"> </w:t>
      </w:r>
      <w:r>
        <w:rPr>
          <w:spacing w:val="-4"/>
        </w:rPr>
        <w:t>会</w:t>
      </w:r>
    </w:p>
    <w:p w14:paraId="52F15BF9">
      <w:pPr>
        <w:pStyle w:val="2"/>
        <w:spacing w:line="222" w:lineRule="auto"/>
        <w:ind w:left="3986"/>
      </w:pPr>
      <w:r>
        <w:rPr>
          <w:spacing w:val="-7"/>
        </w:rPr>
        <w:t>2026</w:t>
      </w:r>
      <w:r>
        <w:rPr>
          <w:spacing w:val="-55"/>
        </w:rPr>
        <w:t xml:space="preserve"> </w:t>
      </w:r>
      <w:r>
        <w:rPr>
          <w:spacing w:val="-7"/>
        </w:rPr>
        <w:t>年</w:t>
      </w:r>
      <w:r>
        <w:rPr>
          <w:spacing w:val="-48"/>
        </w:rPr>
        <w:t xml:space="preserve"> </w:t>
      </w:r>
      <w:r>
        <w:rPr>
          <w:spacing w:val="-7"/>
        </w:rPr>
        <w:t>6</w:t>
      </w:r>
      <w:r>
        <w:rPr>
          <w:spacing w:val="-46"/>
        </w:rPr>
        <w:t xml:space="preserve"> </w:t>
      </w:r>
      <w:r>
        <w:rPr>
          <w:spacing w:val="-7"/>
        </w:rPr>
        <w:t>月</w:t>
      </w:r>
      <w:r>
        <w:rPr>
          <w:spacing w:val="-48"/>
        </w:rPr>
        <w:t xml:space="preserve"> </w:t>
      </w:r>
      <w:r>
        <w:rPr>
          <w:spacing w:val="-7"/>
        </w:rPr>
        <w:t>23 日</w:t>
      </w:r>
    </w:p>
    <w:p w14:paraId="726B640F">
      <w:pPr>
        <w:spacing w:line="222" w:lineRule="auto"/>
        <w:sectPr>
          <w:footerReference r:id="rId6" w:type="default"/>
          <w:pgSz w:w="11906" w:h="16839"/>
          <w:pgMar w:top="1431" w:right="1785" w:bottom="1170" w:left="1785" w:header="0" w:footer="997" w:gutter="0"/>
          <w:cols w:space="720" w:num="1"/>
        </w:sectPr>
      </w:pPr>
    </w:p>
    <w:p w14:paraId="18763E2E">
      <w:pPr>
        <w:spacing w:line="330" w:lineRule="auto"/>
        <w:rPr>
          <w:rFonts w:ascii="Arial"/>
          <w:sz w:val="21"/>
        </w:rPr>
      </w:pPr>
    </w:p>
    <w:p w14:paraId="773BFFE6">
      <w:pPr>
        <w:spacing w:line="330" w:lineRule="auto"/>
        <w:rPr>
          <w:rFonts w:ascii="Arial"/>
          <w:sz w:val="21"/>
        </w:rPr>
      </w:pPr>
    </w:p>
    <w:p w14:paraId="3F979C31">
      <w:pPr>
        <w:spacing w:before="129" w:line="198" w:lineRule="auto"/>
        <w:ind w:left="51"/>
        <w:rPr>
          <w:rFonts w:ascii="微软雅黑" w:hAnsi="微软雅黑" w:eastAsia="微软雅黑" w:cs="微软雅黑"/>
          <w:sz w:val="30"/>
          <w:szCs w:val="30"/>
        </w:rPr>
      </w:pPr>
      <w:r>
        <w:rPr>
          <w:rFonts w:ascii="微软雅黑" w:hAnsi="微软雅黑" w:eastAsia="微软雅黑" w:cs="微软雅黑"/>
          <w:spacing w:val="-5"/>
          <w:w w:val="96"/>
          <w:sz w:val="30"/>
          <w:szCs w:val="30"/>
        </w:rPr>
        <w:t>附件</w:t>
      </w:r>
    </w:p>
    <w:p w14:paraId="5D175BAD">
      <w:pPr>
        <w:spacing w:line="296" w:lineRule="auto"/>
        <w:rPr>
          <w:rFonts w:ascii="Arial"/>
          <w:sz w:val="21"/>
        </w:rPr>
      </w:pPr>
    </w:p>
    <w:p w14:paraId="73322F05">
      <w:pPr>
        <w:spacing w:line="296" w:lineRule="auto"/>
        <w:rPr>
          <w:rFonts w:ascii="Arial"/>
          <w:sz w:val="21"/>
        </w:rPr>
      </w:pPr>
    </w:p>
    <w:p w14:paraId="298A0B1C">
      <w:pPr>
        <w:spacing w:before="114" w:line="494" w:lineRule="exact"/>
        <w:ind w:left="2254"/>
        <w:outlineLvl w:val="1"/>
        <w:rPr>
          <w:rFonts w:ascii="宋体" w:hAnsi="宋体" w:eastAsia="宋体" w:cs="宋体"/>
          <w:sz w:val="35"/>
          <w:szCs w:val="35"/>
        </w:rPr>
      </w:pPr>
      <w:r>
        <w:rPr>
          <w:rFonts w:ascii="宋体" w:hAnsi="宋体" w:eastAsia="宋体" w:cs="宋体"/>
          <w:b/>
          <w:bCs/>
          <w:spacing w:val="5"/>
          <w:position w:val="2"/>
          <w:sz w:val="35"/>
          <w:szCs w:val="35"/>
        </w:rPr>
        <w:t>2025</w:t>
      </w:r>
      <w:r>
        <w:rPr>
          <w:rFonts w:ascii="宋体" w:hAnsi="宋体" w:eastAsia="宋体" w:cs="宋体"/>
          <w:spacing w:val="-75"/>
          <w:position w:val="2"/>
          <w:sz w:val="35"/>
          <w:szCs w:val="35"/>
        </w:rPr>
        <w:t xml:space="preserve"> </w:t>
      </w:r>
      <w:r>
        <w:rPr>
          <w:rFonts w:ascii="宋体" w:hAnsi="宋体" w:eastAsia="宋体" w:cs="宋体"/>
          <w:b/>
          <w:bCs/>
          <w:spacing w:val="5"/>
          <w:position w:val="2"/>
          <w:sz w:val="35"/>
          <w:szCs w:val="35"/>
        </w:rPr>
        <w:t>年度聊城市社科规划“羡林学子”专项课题结项名单</w:t>
      </w:r>
    </w:p>
    <w:p w14:paraId="49D73213">
      <w:pPr>
        <w:spacing w:line="193" w:lineRule="exact"/>
      </w:pPr>
    </w:p>
    <w:tbl>
      <w:tblPr>
        <w:tblStyle w:val="5"/>
        <w:tblW w:w="136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525"/>
        <w:gridCol w:w="4617"/>
        <w:gridCol w:w="966"/>
        <w:gridCol w:w="2127"/>
        <w:gridCol w:w="2126"/>
        <w:gridCol w:w="826"/>
        <w:gridCol w:w="752"/>
      </w:tblGrid>
      <w:tr w14:paraId="7091A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734" w:type="dxa"/>
            <w:vAlign w:val="top"/>
          </w:tcPr>
          <w:p w14:paraId="719E0425">
            <w:pPr>
              <w:spacing w:line="415" w:lineRule="auto"/>
              <w:rPr>
                <w:rFonts w:ascii="Arial"/>
                <w:sz w:val="21"/>
              </w:rPr>
            </w:pPr>
          </w:p>
          <w:p w14:paraId="3E0B114D">
            <w:pPr>
              <w:spacing w:before="78" w:line="241" w:lineRule="auto"/>
              <w:ind w:left="129"/>
              <w:rPr>
                <w:rFonts w:ascii="黑体" w:hAnsi="黑体" w:eastAsia="黑体" w:cs="黑体"/>
                <w:sz w:val="24"/>
                <w:szCs w:val="24"/>
              </w:rPr>
            </w:pPr>
            <w:r>
              <w:rPr>
                <w:rFonts w:ascii="黑体" w:hAnsi="黑体" w:eastAsia="黑体" w:cs="黑体"/>
                <w:spacing w:val="-3"/>
                <w:sz w:val="24"/>
                <w:szCs w:val="24"/>
              </w:rPr>
              <w:t>序号</w:t>
            </w:r>
          </w:p>
        </w:tc>
        <w:tc>
          <w:tcPr>
            <w:tcW w:w="1525" w:type="dxa"/>
            <w:vAlign w:val="top"/>
          </w:tcPr>
          <w:p w14:paraId="124D8478">
            <w:pPr>
              <w:spacing w:before="183" w:line="239" w:lineRule="auto"/>
              <w:ind w:left="530"/>
              <w:rPr>
                <w:rFonts w:ascii="黑体" w:hAnsi="黑体" w:eastAsia="黑体" w:cs="黑体"/>
                <w:sz w:val="24"/>
                <w:szCs w:val="24"/>
              </w:rPr>
            </w:pPr>
            <w:r>
              <w:rPr>
                <w:rFonts w:ascii="黑体" w:hAnsi="黑体" w:eastAsia="黑体" w:cs="黑体"/>
                <w:spacing w:val="-7"/>
                <w:sz w:val="24"/>
                <w:szCs w:val="24"/>
              </w:rPr>
              <w:t>课题</w:t>
            </w:r>
          </w:p>
          <w:p w14:paraId="0C5D548C">
            <w:pPr>
              <w:spacing w:before="313" w:line="239" w:lineRule="auto"/>
              <w:ind w:left="527"/>
              <w:rPr>
                <w:rFonts w:ascii="黑体" w:hAnsi="黑体" w:eastAsia="黑体" w:cs="黑体"/>
                <w:sz w:val="24"/>
                <w:szCs w:val="24"/>
              </w:rPr>
            </w:pPr>
            <w:r>
              <w:rPr>
                <w:rFonts w:ascii="黑体" w:hAnsi="黑体" w:eastAsia="黑体" w:cs="黑体"/>
                <w:spacing w:val="-5"/>
                <w:sz w:val="24"/>
                <w:szCs w:val="24"/>
              </w:rPr>
              <w:t>编号</w:t>
            </w:r>
          </w:p>
        </w:tc>
        <w:tc>
          <w:tcPr>
            <w:tcW w:w="4617" w:type="dxa"/>
            <w:vAlign w:val="top"/>
          </w:tcPr>
          <w:p w14:paraId="0312251F">
            <w:pPr>
              <w:spacing w:line="415" w:lineRule="auto"/>
              <w:rPr>
                <w:rFonts w:ascii="Arial"/>
                <w:sz w:val="21"/>
              </w:rPr>
            </w:pPr>
          </w:p>
          <w:p w14:paraId="755DD0C3">
            <w:pPr>
              <w:spacing w:before="78" w:line="239" w:lineRule="auto"/>
              <w:ind w:left="1837"/>
              <w:rPr>
                <w:rFonts w:ascii="黑体" w:hAnsi="黑体" w:eastAsia="黑体" w:cs="黑体"/>
                <w:sz w:val="24"/>
                <w:szCs w:val="24"/>
              </w:rPr>
            </w:pPr>
            <w:r>
              <w:rPr>
                <w:rFonts w:ascii="黑体" w:hAnsi="黑体" w:eastAsia="黑体" w:cs="黑体"/>
                <w:spacing w:val="-4"/>
                <w:sz w:val="24"/>
                <w:szCs w:val="24"/>
              </w:rPr>
              <w:t>课题名称</w:t>
            </w:r>
          </w:p>
        </w:tc>
        <w:tc>
          <w:tcPr>
            <w:tcW w:w="966" w:type="dxa"/>
            <w:vAlign w:val="top"/>
          </w:tcPr>
          <w:p w14:paraId="7B2B8294">
            <w:pPr>
              <w:spacing w:before="183" w:line="409" w:lineRule="auto"/>
              <w:ind w:left="252" w:right="121" w:hanging="120"/>
              <w:rPr>
                <w:rFonts w:ascii="黑体" w:hAnsi="黑体" w:eastAsia="黑体" w:cs="黑体"/>
                <w:sz w:val="24"/>
                <w:szCs w:val="24"/>
              </w:rPr>
            </w:pPr>
            <w:r>
              <w:rPr>
                <w:rFonts w:ascii="黑体" w:hAnsi="黑体" w:eastAsia="黑体" w:cs="黑体"/>
                <w:spacing w:val="-5"/>
                <w:sz w:val="24"/>
                <w:szCs w:val="24"/>
              </w:rPr>
              <w:t>课题组</w:t>
            </w:r>
            <w:r>
              <w:rPr>
                <w:rFonts w:ascii="黑体" w:hAnsi="黑体" w:eastAsia="黑体" w:cs="黑体"/>
                <w:spacing w:val="-7"/>
                <w:sz w:val="24"/>
                <w:szCs w:val="24"/>
              </w:rPr>
              <w:t>组长</w:t>
            </w:r>
          </w:p>
        </w:tc>
        <w:tc>
          <w:tcPr>
            <w:tcW w:w="2127" w:type="dxa"/>
            <w:vAlign w:val="top"/>
          </w:tcPr>
          <w:p w14:paraId="17D1471C">
            <w:pPr>
              <w:spacing w:line="415" w:lineRule="auto"/>
              <w:rPr>
                <w:rFonts w:ascii="Arial"/>
                <w:sz w:val="21"/>
              </w:rPr>
            </w:pPr>
          </w:p>
          <w:p w14:paraId="310A2438">
            <w:pPr>
              <w:spacing w:before="78"/>
              <w:ind w:left="594"/>
              <w:rPr>
                <w:rFonts w:ascii="黑体" w:hAnsi="黑体" w:eastAsia="黑体" w:cs="黑体"/>
                <w:sz w:val="24"/>
                <w:szCs w:val="24"/>
              </w:rPr>
            </w:pPr>
            <w:r>
              <w:rPr>
                <w:rFonts w:ascii="黑体" w:hAnsi="黑体" w:eastAsia="黑体" w:cs="黑体"/>
                <w:spacing w:val="-4"/>
                <w:sz w:val="24"/>
                <w:szCs w:val="24"/>
              </w:rPr>
              <w:t>推荐单位</w:t>
            </w:r>
          </w:p>
        </w:tc>
        <w:tc>
          <w:tcPr>
            <w:tcW w:w="2126" w:type="dxa"/>
            <w:vAlign w:val="top"/>
          </w:tcPr>
          <w:p w14:paraId="08E550E0">
            <w:pPr>
              <w:spacing w:line="416" w:lineRule="auto"/>
              <w:rPr>
                <w:rFonts w:ascii="Arial"/>
                <w:sz w:val="21"/>
              </w:rPr>
            </w:pPr>
          </w:p>
          <w:p w14:paraId="4D430F33">
            <w:pPr>
              <w:spacing w:before="78" w:line="239" w:lineRule="auto"/>
              <w:ind w:left="591"/>
              <w:rPr>
                <w:rFonts w:ascii="黑体" w:hAnsi="黑体" w:eastAsia="黑体" w:cs="黑体"/>
                <w:sz w:val="24"/>
                <w:szCs w:val="24"/>
              </w:rPr>
            </w:pPr>
            <w:r>
              <w:rPr>
                <w:rFonts w:ascii="黑体" w:hAnsi="黑体" w:eastAsia="黑体" w:cs="黑体"/>
                <w:spacing w:val="-3"/>
                <w:sz w:val="24"/>
                <w:szCs w:val="24"/>
              </w:rPr>
              <w:t>转化形式</w:t>
            </w:r>
          </w:p>
        </w:tc>
        <w:tc>
          <w:tcPr>
            <w:tcW w:w="826" w:type="dxa"/>
            <w:vAlign w:val="top"/>
          </w:tcPr>
          <w:p w14:paraId="6F6F7017">
            <w:pPr>
              <w:spacing w:before="184" w:line="239" w:lineRule="auto"/>
              <w:ind w:left="188"/>
              <w:rPr>
                <w:rFonts w:ascii="黑体" w:hAnsi="黑体" w:eastAsia="黑体" w:cs="黑体"/>
                <w:sz w:val="24"/>
                <w:szCs w:val="24"/>
              </w:rPr>
            </w:pPr>
            <w:r>
              <w:rPr>
                <w:rFonts w:ascii="黑体" w:hAnsi="黑体" w:eastAsia="黑体" w:cs="黑体"/>
                <w:spacing w:val="-8"/>
                <w:sz w:val="24"/>
                <w:szCs w:val="24"/>
              </w:rPr>
              <w:t>结项</w:t>
            </w:r>
          </w:p>
          <w:p w14:paraId="2CD3ED82">
            <w:pPr>
              <w:spacing w:before="312" w:line="239" w:lineRule="auto"/>
              <w:ind w:left="188"/>
              <w:rPr>
                <w:rFonts w:ascii="黑体" w:hAnsi="黑体" w:eastAsia="黑体" w:cs="黑体"/>
                <w:sz w:val="24"/>
                <w:szCs w:val="24"/>
              </w:rPr>
            </w:pPr>
            <w:r>
              <w:rPr>
                <w:rFonts w:ascii="黑体" w:hAnsi="黑体" w:eastAsia="黑体" w:cs="黑体"/>
                <w:spacing w:val="-8"/>
                <w:sz w:val="24"/>
                <w:szCs w:val="24"/>
              </w:rPr>
              <w:t>类型</w:t>
            </w:r>
          </w:p>
        </w:tc>
        <w:tc>
          <w:tcPr>
            <w:tcW w:w="752" w:type="dxa"/>
            <w:vAlign w:val="top"/>
          </w:tcPr>
          <w:p w14:paraId="199DB31B">
            <w:pPr>
              <w:spacing w:before="184" w:line="239" w:lineRule="auto"/>
              <w:ind w:left="149"/>
              <w:rPr>
                <w:rFonts w:ascii="黑体" w:hAnsi="黑体" w:eastAsia="黑体" w:cs="黑体"/>
                <w:sz w:val="24"/>
                <w:szCs w:val="24"/>
              </w:rPr>
            </w:pPr>
            <w:r>
              <w:rPr>
                <w:rFonts w:ascii="黑体" w:hAnsi="黑体" w:eastAsia="黑体" w:cs="黑体"/>
                <w:spacing w:val="-8"/>
                <w:sz w:val="24"/>
                <w:szCs w:val="24"/>
              </w:rPr>
              <w:t>结项</w:t>
            </w:r>
          </w:p>
          <w:p w14:paraId="6C59995E">
            <w:pPr>
              <w:spacing w:before="312" w:line="239" w:lineRule="auto"/>
              <w:ind w:left="141"/>
              <w:rPr>
                <w:rFonts w:ascii="黑体" w:hAnsi="黑体" w:eastAsia="黑体" w:cs="黑体"/>
                <w:sz w:val="24"/>
                <w:szCs w:val="24"/>
              </w:rPr>
            </w:pPr>
            <w:r>
              <w:rPr>
                <w:rFonts w:ascii="黑体" w:hAnsi="黑体" w:eastAsia="黑体" w:cs="黑体"/>
                <w:spacing w:val="-4"/>
                <w:sz w:val="24"/>
                <w:szCs w:val="24"/>
              </w:rPr>
              <w:t>等级</w:t>
            </w:r>
          </w:p>
        </w:tc>
      </w:tr>
      <w:tr w14:paraId="5679A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34" w:type="dxa"/>
            <w:vAlign w:val="top"/>
          </w:tcPr>
          <w:p w14:paraId="242BEBA7">
            <w:pPr>
              <w:pStyle w:val="6"/>
              <w:spacing w:before="205" w:line="227" w:lineRule="auto"/>
              <w:ind w:left="327"/>
            </w:pPr>
            <w:r>
              <w:t>1</w:t>
            </w:r>
          </w:p>
        </w:tc>
        <w:tc>
          <w:tcPr>
            <w:tcW w:w="1525" w:type="dxa"/>
            <w:vAlign w:val="top"/>
          </w:tcPr>
          <w:p w14:paraId="3B638873">
            <w:pPr>
              <w:pStyle w:val="6"/>
              <w:spacing w:before="205" w:line="225" w:lineRule="auto"/>
              <w:ind w:left="140"/>
            </w:pPr>
            <w:r>
              <w:rPr>
                <w:spacing w:val="-6"/>
              </w:rPr>
              <w:t>ZXKT2025268</w:t>
            </w:r>
          </w:p>
        </w:tc>
        <w:tc>
          <w:tcPr>
            <w:tcW w:w="4617" w:type="dxa"/>
            <w:vAlign w:val="top"/>
          </w:tcPr>
          <w:p w14:paraId="3C7B979A">
            <w:pPr>
              <w:pStyle w:val="6"/>
              <w:spacing w:before="205" w:line="208" w:lineRule="auto"/>
              <w:ind w:left="108"/>
            </w:pPr>
            <w:r>
              <w:rPr>
                <w:spacing w:val="9"/>
              </w:rPr>
              <w:t>智能旅游助手推动历史文化街区复兴的路径探索</w:t>
            </w:r>
          </w:p>
        </w:tc>
        <w:tc>
          <w:tcPr>
            <w:tcW w:w="966" w:type="dxa"/>
            <w:vAlign w:val="top"/>
          </w:tcPr>
          <w:p w14:paraId="049E5D75">
            <w:pPr>
              <w:pStyle w:val="6"/>
              <w:spacing w:before="205" w:line="208" w:lineRule="auto"/>
              <w:ind w:left="168"/>
            </w:pPr>
            <w:r>
              <w:rPr>
                <w:spacing w:val="8"/>
              </w:rPr>
              <w:t>李炜恒</w:t>
            </w:r>
          </w:p>
        </w:tc>
        <w:tc>
          <w:tcPr>
            <w:tcW w:w="2127" w:type="dxa"/>
            <w:vAlign w:val="top"/>
          </w:tcPr>
          <w:p w14:paraId="6A5577B6">
            <w:pPr>
              <w:pStyle w:val="6"/>
              <w:spacing w:before="205" w:line="208" w:lineRule="auto"/>
              <w:ind w:left="112"/>
            </w:pPr>
            <w:r>
              <w:rPr>
                <w:spacing w:val="9"/>
              </w:rPr>
              <w:t>聊城大学季羡林学院</w:t>
            </w:r>
          </w:p>
        </w:tc>
        <w:tc>
          <w:tcPr>
            <w:tcW w:w="2126" w:type="dxa"/>
            <w:vAlign w:val="top"/>
          </w:tcPr>
          <w:p w14:paraId="6720A572">
            <w:pPr>
              <w:pStyle w:val="6"/>
              <w:spacing w:before="205" w:line="207" w:lineRule="auto"/>
              <w:ind w:left="109"/>
            </w:pPr>
            <w:r>
              <w:rPr>
                <w:spacing w:val="9"/>
              </w:rPr>
              <w:t>普通学术期刊发表</w:t>
            </w:r>
          </w:p>
        </w:tc>
        <w:tc>
          <w:tcPr>
            <w:tcW w:w="826" w:type="dxa"/>
            <w:vAlign w:val="top"/>
          </w:tcPr>
          <w:p w14:paraId="503B9EC1">
            <w:pPr>
              <w:pStyle w:val="6"/>
              <w:spacing w:before="205" w:line="210" w:lineRule="auto"/>
              <w:ind w:left="208"/>
            </w:pPr>
            <w:r>
              <w:rPr>
                <w:spacing w:val="6"/>
              </w:rPr>
              <w:t>重点</w:t>
            </w:r>
          </w:p>
        </w:tc>
        <w:tc>
          <w:tcPr>
            <w:tcW w:w="752" w:type="dxa"/>
            <w:vAlign w:val="top"/>
          </w:tcPr>
          <w:p w14:paraId="7BB35EC8">
            <w:pPr>
              <w:pStyle w:val="6"/>
              <w:spacing w:before="205" w:line="208" w:lineRule="auto"/>
              <w:ind w:left="167"/>
            </w:pPr>
            <w:r>
              <w:rPr>
                <w:spacing w:val="6"/>
              </w:rPr>
              <w:t>优秀</w:t>
            </w:r>
          </w:p>
        </w:tc>
      </w:tr>
      <w:tr w14:paraId="703AC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34" w:type="dxa"/>
            <w:vAlign w:val="top"/>
          </w:tcPr>
          <w:p w14:paraId="7A2E5104">
            <w:pPr>
              <w:pStyle w:val="6"/>
              <w:spacing w:before="207" w:line="227" w:lineRule="auto"/>
              <w:ind w:left="319"/>
            </w:pPr>
            <w:r>
              <w:t>2</w:t>
            </w:r>
          </w:p>
        </w:tc>
        <w:tc>
          <w:tcPr>
            <w:tcW w:w="1525" w:type="dxa"/>
            <w:vAlign w:val="top"/>
          </w:tcPr>
          <w:p w14:paraId="7F22C0C4">
            <w:pPr>
              <w:pStyle w:val="6"/>
              <w:spacing w:before="207" w:line="225" w:lineRule="auto"/>
              <w:ind w:left="140"/>
            </w:pPr>
            <w:r>
              <w:rPr>
                <w:spacing w:val="-6"/>
              </w:rPr>
              <w:t>ZXKT2025270</w:t>
            </w:r>
          </w:p>
        </w:tc>
        <w:tc>
          <w:tcPr>
            <w:tcW w:w="4617" w:type="dxa"/>
            <w:vAlign w:val="top"/>
          </w:tcPr>
          <w:p w14:paraId="3FF33236">
            <w:pPr>
              <w:pStyle w:val="6"/>
              <w:spacing w:before="51" w:line="205" w:lineRule="auto"/>
              <w:ind w:left="107" w:right="98" w:firstLine="1"/>
            </w:pPr>
            <w:r>
              <w:rPr>
                <w:spacing w:val="9"/>
              </w:rPr>
              <w:t>信息茧房对大学生价值观的消极影响与破解路径</w:t>
            </w:r>
            <w:r>
              <w:rPr>
                <w:spacing w:val="7"/>
              </w:rPr>
              <w:t>研究</w:t>
            </w:r>
          </w:p>
        </w:tc>
        <w:tc>
          <w:tcPr>
            <w:tcW w:w="966" w:type="dxa"/>
            <w:vAlign w:val="top"/>
          </w:tcPr>
          <w:p w14:paraId="6AB8E444">
            <w:pPr>
              <w:pStyle w:val="6"/>
              <w:spacing w:before="208" w:line="207" w:lineRule="auto"/>
              <w:ind w:left="169"/>
            </w:pPr>
            <w:r>
              <w:rPr>
                <w:spacing w:val="8"/>
              </w:rPr>
              <w:t>吴晓丽</w:t>
            </w:r>
          </w:p>
        </w:tc>
        <w:tc>
          <w:tcPr>
            <w:tcW w:w="2127" w:type="dxa"/>
            <w:vAlign w:val="top"/>
          </w:tcPr>
          <w:p w14:paraId="5897234E">
            <w:pPr>
              <w:pStyle w:val="6"/>
              <w:spacing w:before="207" w:line="208" w:lineRule="auto"/>
              <w:ind w:left="112"/>
            </w:pPr>
            <w:r>
              <w:rPr>
                <w:spacing w:val="9"/>
              </w:rPr>
              <w:t>聊城大学季羡林学院</w:t>
            </w:r>
          </w:p>
        </w:tc>
        <w:tc>
          <w:tcPr>
            <w:tcW w:w="2126" w:type="dxa"/>
            <w:vAlign w:val="top"/>
          </w:tcPr>
          <w:p w14:paraId="770F3694">
            <w:pPr>
              <w:pStyle w:val="6"/>
              <w:spacing w:before="208" w:line="207" w:lineRule="auto"/>
              <w:ind w:left="109"/>
            </w:pPr>
            <w:r>
              <w:rPr>
                <w:spacing w:val="9"/>
              </w:rPr>
              <w:t>普通学术期刊发表</w:t>
            </w:r>
          </w:p>
        </w:tc>
        <w:tc>
          <w:tcPr>
            <w:tcW w:w="826" w:type="dxa"/>
            <w:vAlign w:val="top"/>
          </w:tcPr>
          <w:p w14:paraId="39FB5321">
            <w:pPr>
              <w:pStyle w:val="6"/>
              <w:spacing w:before="207" w:line="210" w:lineRule="auto"/>
              <w:ind w:left="208"/>
            </w:pPr>
            <w:r>
              <w:rPr>
                <w:spacing w:val="6"/>
              </w:rPr>
              <w:t>重点</w:t>
            </w:r>
          </w:p>
        </w:tc>
        <w:tc>
          <w:tcPr>
            <w:tcW w:w="752" w:type="dxa"/>
            <w:vAlign w:val="top"/>
          </w:tcPr>
          <w:p w14:paraId="51739B04">
            <w:pPr>
              <w:pStyle w:val="6"/>
              <w:spacing w:before="207" w:line="208" w:lineRule="auto"/>
              <w:ind w:left="167"/>
            </w:pPr>
            <w:r>
              <w:rPr>
                <w:spacing w:val="6"/>
              </w:rPr>
              <w:t>优秀</w:t>
            </w:r>
          </w:p>
        </w:tc>
      </w:tr>
      <w:tr w14:paraId="4BE2C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34" w:type="dxa"/>
            <w:vAlign w:val="top"/>
          </w:tcPr>
          <w:p w14:paraId="437FC350">
            <w:pPr>
              <w:pStyle w:val="6"/>
              <w:spacing w:before="207" w:line="225" w:lineRule="auto"/>
              <w:ind w:left="318"/>
            </w:pPr>
            <w:r>
              <w:t>3</w:t>
            </w:r>
          </w:p>
        </w:tc>
        <w:tc>
          <w:tcPr>
            <w:tcW w:w="1525" w:type="dxa"/>
            <w:vAlign w:val="top"/>
          </w:tcPr>
          <w:p w14:paraId="46577DD6">
            <w:pPr>
              <w:pStyle w:val="6"/>
              <w:spacing w:before="207" w:line="225" w:lineRule="auto"/>
              <w:ind w:left="140"/>
            </w:pPr>
            <w:r>
              <w:rPr>
                <w:spacing w:val="-6"/>
              </w:rPr>
              <w:t>ZXKT2025271</w:t>
            </w:r>
          </w:p>
        </w:tc>
        <w:tc>
          <w:tcPr>
            <w:tcW w:w="4617" w:type="dxa"/>
            <w:vAlign w:val="top"/>
          </w:tcPr>
          <w:p w14:paraId="4E5F5FEA">
            <w:pPr>
              <w:pStyle w:val="6"/>
              <w:spacing w:before="207" w:line="207" w:lineRule="auto"/>
              <w:ind w:left="126"/>
            </w:pPr>
            <w:r>
              <w:rPr>
                <w:spacing w:val="8"/>
              </w:rPr>
              <w:t>明清时期聊城运河沿线墩台研究</w:t>
            </w:r>
          </w:p>
        </w:tc>
        <w:tc>
          <w:tcPr>
            <w:tcW w:w="966" w:type="dxa"/>
            <w:vAlign w:val="top"/>
          </w:tcPr>
          <w:p w14:paraId="7B243408">
            <w:pPr>
              <w:pStyle w:val="6"/>
              <w:spacing w:before="207" w:line="207" w:lineRule="auto"/>
              <w:ind w:left="172"/>
            </w:pPr>
            <w:r>
              <w:rPr>
                <w:spacing w:val="7"/>
              </w:rPr>
              <w:t>黄睿贤</w:t>
            </w:r>
          </w:p>
        </w:tc>
        <w:tc>
          <w:tcPr>
            <w:tcW w:w="2127" w:type="dxa"/>
            <w:vAlign w:val="top"/>
          </w:tcPr>
          <w:p w14:paraId="02555508">
            <w:pPr>
              <w:pStyle w:val="6"/>
              <w:spacing w:before="207" w:line="208" w:lineRule="auto"/>
              <w:ind w:left="112"/>
            </w:pPr>
            <w:r>
              <w:rPr>
                <w:spacing w:val="9"/>
              </w:rPr>
              <w:t>聊城大学季羡林学院</w:t>
            </w:r>
          </w:p>
        </w:tc>
        <w:tc>
          <w:tcPr>
            <w:tcW w:w="2126" w:type="dxa"/>
            <w:vAlign w:val="top"/>
          </w:tcPr>
          <w:p w14:paraId="03DC73A2">
            <w:pPr>
              <w:pStyle w:val="6"/>
              <w:spacing w:before="207" w:line="207" w:lineRule="auto"/>
              <w:ind w:left="109"/>
            </w:pPr>
            <w:r>
              <w:rPr>
                <w:spacing w:val="9"/>
              </w:rPr>
              <w:t>普通学术期刊发表</w:t>
            </w:r>
          </w:p>
        </w:tc>
        <w:tc>
          <w:tcPr>
            <w:tcW w:w="826" w:type="dxa"/>
            <w:vAlign w:val="top"/>
          </w:tcPr>
          <w:p w14:paraId="7AD5519D">
            <w:pPr>
              <w:pStyle w:val="6"/>
              <w:spacing w:before="207" w:line="210" w:lineRule="auto"/>
              <w:ind w:left="208"/>
            </w:pPr>
            <w:r>
              <w:rPr>
                <w:spacing w:val="6"/>
              </w:rPr>
              <w:t>重点</w:t>
            </w:r>
          </w:p>
        </w:tc>
        <w:tc>
          <w:tcPr>
            <w:tcW w:w="752" w:type="dxa"/>
            <w:vAlign w:val="top"/>
          </w:tcPr>
          <w:p w14:paraId="18F00CA4">
            <w:pPr>
              <w:pStyle w:val="6"/>
              <w:spacing w:before="207" w:line="208" w:lineRule="auto"/>
              <w:ind w:left="167"/>
            </w:pPr>
            <w:r>
              <w:rPr>
                <w:spacing w:val="6"/>
              </w:rPr>
              <w:t>优秀</w:t>
            </w:r>
          </w:p>
        </w:tc>
      </w:tr>
      <w:tr w14:paraId="0DBD7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34" w:type="dxa"/>
            <w:vAlign w:val="top"/>
          </w:tcPr>
          <w:p w14:paraId="4C53A9A6">
            <w:pPr>
              <w:pStyle w:val="6"/>
              <w:spacing w:before="208" w:line="227" w:lineRule="auto"/>
              <w:ind w:left="316"/>
            </w:pPr>
            <w:r>
              <w:t>4</w:t>
            </w:r>
          </w:p>
        </w:tc>
        <w:tc>
          <w:tcPr>
            <w:tcW w:w="1525" w:type="dxa"/>
            <w:vAlign w:val="top"/>
          </w:tcPr>
          <w:p w14:paraId="3AA21701">
            <w:pPr>
              <w:pStyle w:val="6"/>
              <w:spacing w:before="208" w:line="225" w:lineRule="auto"/>
              <w:ind w:left="140"/>
            </w:pPr>
            <w:r>
              <w:rPr>
                <w:spacing w:val="-6"/>
              </w:rPr>
              <w:t>ZXKT2025275</w:t>
            </w:r>
          </w:p>
        </w:tc>
        <w:tc>
          <w:tcPr>
            <w:tcW w:w="4617" w:type="dxa"/>
            <w:vAlign w:val="top"/>
          </w:tcPr>
          <w:p w14:paraId="639F67B2">
            <w:pPr>
              <w:pStyle w:val="6"/>
              <w:spacing w:before="52" w:line="205" w:lineRule="auto"/>
              <w:ind w:left="129" w:right="105" w:hanging="19"/>
            </w:pPr>
            <w:r>
              <w:rPr>
                <w:spacing w:val="7"/>
              </w:rPr>
              <w:t>季羡林“文化共生</w:t>
            </w:r>
            <w:r>
              <w:rPr>
                <w:spacing w:val="-31"/>
              </w:rPr>
              <w:t xml:space="preserve"> </w:t>
            </w:r>
            <w:r>
              <w:rPr>
                <w:spacing w:val="7"/>
              </w:rPr>
              <w:t>”思想与“一带一路</w:t>
            </w:r>
            <w:r>
              <w:rPr>
                <w:spacing w:val="-40"/>
              </w:rPr>
              <w:t xml:space="preserve"> </w:t>
            </w:r>
            <w:r>
              <w:rPr>
                <w:spacing w:val="7"/>
              </w:rPr>
              <w:t>”背景下中华文化对外传播研究</w:t>
            </w:r>
          </w:p>
        </w:tc>
        <w:tc>
          <w:tcPr>
            <w:tcW w:w="966" w:type="dxa"/>
            <w:vAlign w:val="top"/>
          </w:tcPr>
          <w:p w14:paraId="516F960F">
            <w:pPr>
              <w:pStyle w:val="6"/>
              <w:spacing w:before="208" w:line="209" w:lineRule="auto"/>
              <w:ind w:left="166"/>
            </w:pPr>
            <w:r>
              <w:rPr>
                <w:spacing w:val="9"/>
              </w:rPr>
              <w:t>邢韵涵</w:t>
            </w:r>
          </w:p>
        </w:tc>
        <w:tc>
          <w:tcPr>
            <w:tcW w:w="2127" w:type="dxa"/>
            <w:vAlign w:val="top"/>
          </w:tcPr>
          <w:p w14:paraId="0BDA8564">
            <w:pPr>
              <w:pStyle w:val="6"/>
              <w:spacing w:before="208" w:line="208" w:lineRule="auto"/>
              <w:ind w:left="112"/>
            </w:pPr>
            <w:r>
              <w:rPr>
                <w:spacing w:val="9"/>
              </w:rPr>
              <w:t>聊城大学季羡林学院</w:t>
            </w:r>
          </w:p>
        </w:tc>
        <w:tc>
          <w:tcPr>
            <w:tcW w:w="2126" w:type="dxa"/>
            <w:vAlign w:val="top"/>
          </w:tcPr>
          <w:p w14:paraId="7E6C3EC7">
            <w:pPr>
              <w:pStyle w:val="6"/>
              <w:spacing w:before="209" w:line="207" w:lineRule="auto"/>
              <w:ind w:left="109"/>
            </w:pPr>
            <w:r>
              <w:rPr>
                <w:spacing w:val="9"/>
              </w:rPr>
              <w:t>普通学术期刊发表</w:t>
            </w:r>
          </w:p>
        </w:tc>
        <w:tc>
          <w:tcPr>
            <w:tcW w:w="826" w:type="dxa"/>
            <w:vAlign w:val="top"/>
          </w:tcPr>
          <w:p w14:paraId="11CB77A9">
            <w:pPr>
              <w:pStyle w:val="6"/>
              <w:spacing w:before="208" w:line="210" w:lineRule="auto"/>
              <w:ind w:left="208"/>
            </w:pPr>
            <w:r>
              <w:rPr>
                <w:spacing w:val="6"/>
              </w:rPr>
              <w:t>重点</w:t>
            </w:r>
          </w:p>
        </w:tc>
        <w:tc>
          <w:tcPr>
            <w:tcW w:w="752" w:type="dxa"/>
            <w:vAlign w:val="top"/>
          </w:tcPr>
          <w:p w14:paraId="1F192700">
            <w:pPr>
              <w:pStyle w:val="6"/>
              <w:spacing w:before="208" w:line="208" w:lineRule="auto"/>
              <w:ind w:left="167"/>
            </w:pPr>
            <w:r>
              <w:rPr>
                <w:spacing w:val="6"/>
              </w:rPr>
              <w:t>优秀</w:t>
            </w:r>
          </w:p>
        </w:tc>
      </w:tr>
      <w:tr w14:paraId="02146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34" w:type="dxa"/>
            <w:vAlign w:val="top"/>
          </w:tcPr>
          <w:p w14:paraId="000202DF">
            <w:pPr>
              <w:pStyle w:val="6"/>
              <w:spacing w:before="207" w:line="225" w:lineRule="auto"/>
              <w:ind w:left="318"/>
            </w:pPr>
            <w:r>
              <w:t>5</w:t>
            </w:r>
          </w:p>
        </w:tc>
        <w:tc>
          <w:tcPr>
            <w:tcW w:w="1525" w:type="dxa"/>
            <w:vAlign w:val="top"/>
          </w:tcPr>
          <w:p w14:paraId="2EFC160F">
            <w:pPr>
              <w:pStyle w:val="6"/>
              <w:spacing w:before="207" w:line="225" w:lineRule="auto"/>
              <w:ind w:left="140"/>
            </w:pPr>
            <w:r>
              <w:rPr>
                <w:spacing w:val="-6"/>
              </w:rPr>
              <w:t>ZXKT2025283</w:t>
            </w:r>
          </w:p>
        </w:tc>
        <w:tc>
          <w:tcPr>
            <w:tcW w:w="4617" w:type="dxa"/>
            <w:vAlign w:val="top"/>
          </w:tcPr>
          <w:p w14:paraId="16B20D2F">
            <w:pPr>
              <w:pStyle w:val="6"/>
              <w:spacing w:before="207" w:line="207" w:lineRule="auto"/>
              <w:ind w:left="92"/>
            </w:pPr>
            <w:r>
              <w:rPr>
                <w:spacing w:val="10"/>
              </w:rPr>
              <w:t>《周易》偶对视角下黄河两岸文明对称性研究</w:t>
            </w:r>
          </w:p>
        </w:tc>
        <w:tc>
          <w:tcPr>
            <w:tcW w:w="966" w:type="dxa"/>
            <w:vAlign w:val="top"/>
          </w:tcPr>
          <w:p w14:paraId="13905B1B">
            <w:pPr>
              <w:pStyle w:val="6"/>
              <w:spacing w:before="208" w:line="208" w:lineRule="auto"/>
              <w:ind w:left="275"/>
            </w:pPr>
            <w:r>
              <w:rPr>
                <w:spacing w:val="6"/>
              </w:rPr>
              <w:t>郭峥</w:t>
            </w:r>
          </w:p>
        </w:tc>
        <w:tc>
          <w:tcPr>
            <w:tcW w:w="2127" w:type="dxa"/>
            <w:vAlign w:val="top"/>
          </w:tcPr>
          <w:p w14:paraId="6B85AF15">
            <w:pPr>
              <w:pStyle w:val="6"/>
              <w:spacing w:before="207" w:line="208" w:lineRule="auto"/>
              <w:ind w:left="112"/>
            </w:pPr>
            <w:r>
              <w:rPr>
                <w:spacing w:val="9"/>
              </w:rPr>
              <w:t>聊城大学季羡林学院</w:t>
            </w:r>
          </w:p>
        </w:tc>
        <w:tc>
          <w:tcPr>
            <w:tcW w:w="2126" w:type="dxa"/>
            <w:vAlign w:val="top"/>
          </w:tcPr>
          <w:p w14:paraId="7C0DAA3F">
            <w:pPr>
              <w:pStyle w:val="6"/>
              <w:spacing w:before="207" w:line="207" w:lineRule="auto"/>
              <w:ind w:left="109"/>
            </w:pPr>
            <w:r>
              <w:rPr>
                <w:spacing w:val="9"/>
              </w:rPr>
              <w:t>普通学术期刊发表</w:t>
            </w:r>
          </w:p>
        </w:tc>
        <w:tc>
          <w:tcPr>
            <w:tcW w:w="826" w:type="dxa"/>
            <w:vAlign w:val="top"/>
          </w:tcPr>
          <w:p w14:paraId="0F465426">
            <w:pPr>
              <w:pStyle w:val="6"/>
              <w:spacing w:before="207" w:line="210" w:lineRule="auto"/>
              <w:ind w:left="208"/>
            </w:pPr>
            <w:r>
              <w:rPr>
                <w:spacing w:val="6"/>
              </w:rPr>
              <w:t>重点</w:t>
            </w:r>
          </w:p>
        </w:tc>
        <w:tc>
          <w:tcPr>
            <w:tcW w:w="752" w:type="dxa"/>
            <w:vAlign w:val="top"/>
          </w:tcPr>
          <w:p w14:paraId="59810E2A">
            <w:pPr>
              <w:pStyle w:val="6"/>
              <w:spacing w:before="207" w:line="208" w:lineRule="auto"/>
              <w:ind w:left="167"/>
            </w:pPr>
            <w:r>
              <w:rPr>
                <w:spacing w:val="6"/>
              </w:rPr>
              <w:t>优秀</w:t>
            </w:r>
          </w:p>
        </w:tc>
      </w:tr>
      <w:tr w14:paraId="12551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34" w:type="dxa"/>
            <w:vAlign w:val="top"/>
          </w:tcPr>
          <w:p w14:paraId="4956B161">
            <w:pPr>
              <w:pStyle w:val="6"/>
              <w:spacing w:before="210" w:line="225" w:lineRule="auto"/>
              <w:ind w:left="319"/>
            </w:pPr>
            <w:r>
              <w:t>6</w:t>
            </w:r>
          </w:p>
        </w:tc>
        <w:tc>
          <w:tcPr>
            <w:tcW w:w="1525" w:type="dxa"/>
            <w:vAlign w:val="top"/>
          </w:tcPr>
          <w:p w14:paraId="147CA344">
            <w:pPr>
              <w:pStyle w:val="6"/>
              <w:spacing w:before="209" w:line="225" w:lineRule="auto"/>
              <w:ind w:left="140"/>
            </w:pPr>
            <w:r>
              <w:rPr>
                <w:spacing w:val="-6"/>
              </w:rPr>
              <w:t>ZXKT2025267</w:t>
            </w:r>
          </w:p>
        </w:tc>
        <w:tc>
          <w:tcPr>
            <w:tcW w:w="4617" w:type="dxa"/>
            <w:vAlign w:val="top"/>
          </w:tcPr>
          <w:p w14:paraId="54C3ED1A">
            <w:pPr>
              <w:pStyle w:val="6"/>
              <w:spacing w:before="52" w:line="205" w:lineRule="auto"/>
              <w:ind w:left="114" w:right="105" w:hanging="5"/>
            </w:pPr>
            <w:r>
              <w:rPr>
                <w:spacing w:val="6"/>
              </w:rPr>
              <w:t>“两河文化</w:t>
            </w:r>
            <w:r>
              <w:rPr>
                <w:spacing w:val="-21"/>
              </w:rPr>
              <w:t xml:space="preserve"> </w:t>
            </w:r>
            <w:r>
              <w:rPr>
                <w:spacing w:val="6"/>
              </w:rPr>
              <w:t>”赋能乡村振兴——以聊城非遗葫芦</w:t>
            </w:r>
            <w:r>
              <w:rPr>
                <w:spacing w:val="3"/>
              </w:rPr>
              <w:t>为例</w:t>
            </w:r>
          </w:p>
        </w:tc>
        <w:tc>
          <w:tcPr>
            <w:tcW w:w="966" w:type="dxa"/>
            <w:vAlign w:val="top"/>
          </w:tcPr>
          <w:p w14:paraId="48CDC1B7">
            <w:pPr>
              <w:pStyle w:val="6"/>
              <w:spacing w:before="209" w:line="209" w:lineRule="auto"/>
              <w:ind w:left="201"/>
            </w:pPr>
            <w:r>
              <w:rPr>
                <w:spacing w:val="-3"/>
              </w:rPr>
              <w:t>肖玉雪</w:t>
            </w:r>
          </w:p>
        </w:tc>
        <w:tc>
          <w:tcPr>
            <w:tcW w:w="2127" w:type="dxa"/>
            <w:vAlign w:val="top"/>
          </w:tcPr>
          <w:p w14:paraId="3698F6C1">
            <w:pPr>
              <w:pStyle w:val="6"/>
              <w:spacing w:before="209" w:line="208" w:lineRule="auto"/>
              <w:ind w:left="112"/>
            </w:pPr>
            <w:r>
              <w:rPr>
                <w:spacing w:val="9"/>
              </w:rPr>
              <w:t>聊城大学季羡林学院</w:t>
            </w:r>
          </w:p>
        </w:tc>
        <w:tc>
          <w:tcPr>
            <w:tcW w:w="2126" w:type="dxa"/>
            <w:vAlign w:val="top"/>
          </w:tcPr>
          <w:p w14:paraId="1336197C">
            <w:pPr>
              <w:pStyle w:val="6"/>
              <w:spacing w:before="209" w:line="208" w:lineRule="auto"/>
              <w:ind w:left="111"/>
            </w:pPr>
            <w:r>
              <w:rPr>
                <w:spacing w:val="9"/>
              </w:rPr>
              <w:t>市级报纸理论版发表</w:t>
            </w:r>
          </w:p>
        </w:tc>
        <w:tc>
          <w:tcPr>
            <w:tcW w:w="826" w:type="dxa"/>
            <w:vAlign w:val="top"/>
          </w:tcPr>
          <w:p w14:paraId="465D2097">
            <w:pPr>
              <w:pStyle w:val="6"/>
              <w:spacing w:before="210" w:line="208" w:lineRule="auto"/>
              <w:ind w:left="207"/>
            </w:pPr>
            <w:r>
              <w:rPr>
                <w:spacing w:val="6"/>
              </w:rPr>
              <w:t>一般</w:t>
            </w:r>
          </w:p>
        </w:tc>
        <w:tc>
          <w:tcPr>
            <w:tcW w:w="752" w:type="dxa"/>
            <w:vAlign w:val="top"/>
          </w:tcPr>
          <w:p w14:paraId="093ECB98">
            <w:pPr>
              <w:pStyle w:val="6"/>
              <w:spacing w:before="209" w:line="208" w:lineRule="auto"/>
              <w:ind w:left="167"/>
            </w:pPr>
            <w:r>
              <w:rPr>
                <w:spacing w:val="6"/>
              </w:rPr>
              <w:t>优秀</w:t>
            </w:r>
          </w:p>
        </w:tc>
      </w:tr>
      <w:tr w14:paraId="0658A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34" w:type="dxa"/>
            <w:vAlign w:val="top"/>
          </w:tcPr>
          <w:p w14:paraId="5BB7E8D4">
            <w:pPr>
              <w:pStyle w:val="6"/>
              <w:spacing w:before="208" w:line="227" w:lineRule="auto"/>
              <w:ind w:left="319"/>
            </w:pPr>
            <w:r>
              <w:t>7</w:t>
            </w:r>
          </w:p>
        </w:tc>
        <w:tc>
          <w:tcPr>
            <w:tcW w:w="1525" w:type="dxa"/>
            <w:vAlign w:val="top"/>
          </w:tcPr>
          <w:p w14:paraId="16C0EE65">
            <w:pPr>
              <w:pStyle w:val="6"/>
              <w:spacing w:before="208" w:line="225" w:lineRule="auto"/>
              <w:ind w:left="140"/>
            </w:pPr>
            <w:r>
              <w:rPr>
                <w:spacing w:val="-6"/>
              </w:rPr>
              <w:t>ZXKT2025269</w:t>
            </w:r>
          </w:p>
        </w:tc>
        <w:tc>
          <w:tcPr>
            <w:tcW w:w="4617" w:type="dxa"/>
            <w:vAlign w:val="top"/>
          </w:tcPr>
          <w:p w14:paraId="2A6EAADB">
            <w:pPr>
              <w:pStyle w:val="6"/>
              <w:spacing w:before="209" w:line="207" w:lineRule="auto"/>
              <w:ind w:left="108"/>
            </w:pPr>
            <w:r>
              <w:rPr>
                <w:spacing w:val="9"/>
              </w:rPr>
              <w:t>平原省行政区划变迁的治理效能研究与当代启示</w:t>
            </w:r>
          </w:p>
        </w:tc>
        <w:tc>
          <w:tcPr>
            <w:tcW w:w="966" w:type="dxa"/>
            <w:vAlign w:val="top"/>
          </w:tcPr>
          <w:p w14:paraId="2D4C798D">
            <w:pPr>
              <w:pStyle w:val="6"/>
              <w:spacing w:before="209" w:line="207" w:lineRule="auto"/>
              <w:ind w:left="168"/>
            </w:pPr>
            <w:r>
              <w:rPr>
                <w:spacing w:val="8"/>
              </w:rPr>
              <w:t>孙浩淇</w:t>
            </w:r>
          </w:p>
        </w:tc>
        <w:tc>
          <w:tcPr>
            <w:tcW w:w="2127" w:type="dxa"/>
            <w:vAlign w:val="top"/>
          </w:tcPr>
          <w:p w14:paraId="22CE14C4">
            <w:pPr>
              <w:pStyle w:val="6"/>
              <w:spacing w:before="208" w:line="208" w:lineRule="auto"/>
              <w:ind w:left="112"/>
            </w:pPr>
            <w:r>
              <w:rPr>
                <w:spacing w:val="9"/>
              </w:rPr>
              <w:t>聊城大学季羡林学院</w:t>
            </w:r>
          </w:p>
        </w:tc>
        <w:tc>
          <w:tcPr>
            <w:tcW w:w="2126" w:type="dxa"/>
            <w:vAlign w:val="top"/>
          </w:tcPr>
          <w:p w14:paraId="0C76CC56">
            <w:pPr>
              <w:pStyle w:val="6"/>
              <w:spacing w:before="208" w:line="208" w:lineRule="auto"/>
              <w:ind w:left="115"/>
            </w:pPr>
            <w:r>
              <w:rPr>
                <w:spacing w:val="8"/>
              </w:rPr>
              <w:t>副市厅级领导签批</w:t>
            </w:r>
          </w:p>
        </w:tc>
        <w:tc>
          <w:tcPr>
            <w:tcW w:w="826" w:type="dxa"/>
            <w:vAlign w:val="top"/>
          </w:tcPr>
          <w:p w14:paraId="4E85EF9E">
            <w:pPr>
              <w:pStyle w:val="6"/>
              <w:spacing w:before="209" w:line="208" w:lineRule="auto"/>
              <w:ind w:left="207"/>
            </w:pPr>
            <w:r>
              <w:rPr>
                <w:spacing w:val="6"/>
              </w:rPr>
              <w:t>一般</w:t>
            </w:r>
          </w:p>
        </w:tc>
        <w:tc>
          <w:tcPr>
            <w:tcW w:w="752" w:type="dxa"/>
            <w:vAlign w:val="top"/>
          </w:tcPr>
          <w:p w14:paraId="36D435CD">
            <w:pPr>
              <w:pStyle w:val="6"/>
              <w:spacing w:before="208" w:line="208" w:lineRule="auto"/>
              <w:ind w:left="167"/>
            </w:pPr>
            <w:r>
              <w:rPr>
                <w:spacing w:val="6"/>
              </w:rPr>
              <w:t>优秀</w:t>
            </w:r>
          </w:p>
        </w:tc>
      </w:tr>
      <w:tr w14:paraId="29FB3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734" w:type="dxa"/>
            <w:vAlign w:val="top"/>
          </w:tcPr>
          <w:p w14:paraId="707EBDF5">
            <w:pPr>
              <w:pStyle w:val="6"/>
              <w:spacing w:before="211" w:line="225" w:lineRule="auto"/>
              <w:ind w:left="318"/>
            </w:pPr>
            <w:r>
              <w:t>8</w:t>
            </w:r>
          </w:p>
        </w:tc>
        <w:tc>
          <w:tcPr>
            <w:tcW w:w="1525" w:type="dxa"/>
            <w:vAlign w:val="top"/>
          </w:tcPr>
          <w:p w14:paraId="5B4EA326">
            <w:pPr>
              <w:pStyle w:val="6"/>
              <w:spacing w:before="210" w:line="225" w:lineRule="auto"/>
              <w:ind w:left="140"/>
            </w:pPr>
            <w:r>
              <w:rPr>
                <w:spacing w:val="-6"/>
              </w:rPr>
              <w:t>ZXKT2025272</w:t>
            </w:r>
          </w:p>
        </w:tc>
        <w:tc>
          <w:tcPr>
            <w:tcW w:w="4617" w:type="dxa"/>
            <w:vAlign w:val="top"/>
          </w:tcPr>
          <w:p w14:paraId="30810759">
            <w:pPr>
              <w:pStyle w:val="6"/>
              <w:spacing w:before="210" w:line="208" w:lineRule="auto"/>
              <w:ind w:left="110"/>
            </w:pPr>
            <w:r>
              <w:rPr>
                <w:spacing w:val="8"/>
              </w:rPr>
              <w:t>聊城东夷文明基因与秦汉齐</w:t>
            </w:r>
            <w:r>
              <w:rPr>
                <w:spacing w:val="-29"/>
              </w:rPr>
              <w:t xml:space="preserve"> </w:t>
            </w:r>
            <w:r>
              <w:rPr>
                <w:spacing w:val="8"/>
              </w:rPr>
              <w:t>、鲁学派建构研究</w:t>
            </w:r>
          </w:p>
        </w:tc>
        <w:tc>
          <w:tcPr>
            <w:tcW w:w="966" w:type="dxa"/>
            <w:vAlign w:val="top"/>
          </w:tcPr>
          <w:p w14:paraId="7F93BB0E">
            <w:pPr>
              <w:pStyle w:val="6"/>
              <w:spacing w:before="210" w:line="209" w:lineRule="auto"/>
              <w:ind w:left="176"/>
            </w:pPr>
            <w:r>
              <w:rPr>
                <w:spacing w:val="5"/>
              </w:rPr>
              <w:t>马翰文</w:t>
            </w:r>
          </w:p>
        </w:tc>
        <w:tc>
          <w:tcPr>
            <w:tcW w:w="2127" w:type="dxa"/>
            <w:vAlign w:val="top"/>
          </w:tcPr>
          <w:p w14:paraId="1FC163D8">
            <w:pPr>
              <w:pStyle w:val="6"/>
              <w:spacing w:before="210" w:line="208" w:lineRule="auto"/>
              <w:ind w:left="112"/>
            </w:pPr>
            <w:r>
              <w:rPr>
                <w:spacing w:val="9"/>
              </w:rPr>
              <w:t>聊城大学季羡林学院</w:t>
            </w:r>
          </w:p>
        </w:tc>
        <w:tc>
          <w:tcPr>
            <w:tcW w:w="2126" w:type="dxa"/>
            <w:vAlign w:val="top"/>
          </w:tcPr>
          <w:p w14:paraId="23294721">
            <w:pPr>
              <w:pStyle w:val="6"/>
              <w:spacing w:before="210" w:line="208" w:lineRule="auto"/>
              <w:ind w:left="115"/>
            </w:pPr>
            <w:r>
              <w:rPr>
                <w:spacing w:val="8"/>
              </w:rPr>
              <w:t>副市厅级领导签批</w:t>
            </w:r>
          </w:p>
        </w:tc>
        <w:tc>
          <w:tcPr>
            <w:tcW w:w="826" w:type="dxa"/>
            <w:vAlign w:val="top"/>
          </w:tcPr>
          <w:p w14:paraId="5502EC34">
            <w:pPr>
              <w:pStyle w:val="6"/>
              <w:spacing w:before="211" w:line="208" w:lineRule="auto"/>
              <w:ind w:left="207"/>
            </w:pPr>
            <w:r>
              <w:rPr>
                <w:spacing w:val="6"/>
              </w:rPr>
              <w:t>一般</w:t>
            </w:r>
          </w:p>
        </w:tc>
        <w:tc>
          <w:tcPr>
            <w:tcW w:w="752" w:type="dxa"/>
            <w:vAlign w:val="top"/>
          </w:tcPr>
          <w:p w14:paraId="2A9C0191">
            <w:pPr>
              <w:pStyle w:val="6"/>
              <w:spacing w:before="210" w:line="208" w:lineRule="auto"/>
              <w:ind w:left="167"/>
            </w:pPr>
            <w:r>
              <w:rPr>
                <w:spacing w:val="6"/>
              </w:rPr>
              <w:t>优秀</w:t>
            </w:r>
          </w:p>
        </w:tc>
      </w:tr>
    </w:tbl>
    <w:p w14:paraId="48917FBD">
      <w:pPr>
        <w:rPr>
          <w:rFonts w:ascii="Arial"/>
          <w:sz w:val="21"/>
        </w:rPr>
      </w:pPr>
    </w:p>
    <w:p w14:paraId="2A24C017">
      <w:pPr>
        <w:rPr>
          <w:rFonts w:ascii="Arial" w:hAnsi="Arial" w:eastAsia="Arial" w:cs="Arial"/>
          <w:sz w:val="21"/>
          <w:szCs w:val="21"/>
        </w:rPr>
        <w:sectPr>
          <w:footerReference r:id="rId7" w:type="default"/>
          <w:pgSz w:w="16839" w:h="11906"/>
          <w:pgMar w:top="1012" w:right="1592" w:bottom="1170" w:left="1567" w:header="0" w:footer="997" w:gutter="0"/>
          <w:cols w:space="720" w:num="1"/>
        </w:sectPr>
      </w:pPr>
    </w:p>
    <w:p w14:paraId="6CCBF8E3">
      <w:pPr>
        <w:spacing w:before="46"/>
      </w:pPr>
    </w:p>
    <w:p w14:paraId="18EE684F">
      <w:pPr>
        <w:spacing w:before="46"/>
      </w:pPr>
    </w:p>
    <w:tbl>
      <w:tblPr>
        <w:tblStyle w:val="5"/>
        <w:tblW w:w="136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525"/>
        <w:gridCol w:w="4617"/>
        <w:gridCol w:w="966"/>
        <w:gridCol w:w="2127"/>
        <w:gridCol w:w="2126"/>
        <w:gridCol w:w="826"/>
        <w:gridCol w:w="752"/>
      </w:tblGrid>
      <w:tr w14:paraId="419BC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734" w:type="dxa"/>
            <w:vAlign w:val="top"/>
          </w:tcPr>
          <w:p w14:paraId="1F1970F1">
            <w:pPr>
              <w:pStyle w:val="6"/>
              <w:spacing w:before="210" w:line="225" w:lineRule="auto"/>
              <w:ind w:left="318"/>
            </w:pPr>
            <w:r>
              <w:t>9</w:t>
            </w:r>
          </w:p>
        </w:tc>
        <w:tc>
          <w:tcPr>
            <w:tcW w:w="1525" w:type="dxa"/>
            <w:vAlign w:val="top"/>
          </w:tcPr>
          <w:p w14:paraId="5AFBEC34">
            <w:pPr>
              <w:pStyle w:val="6"/>
              <w:spacing w:before="210" w:line="225" w:lineRule="auto"/>
              <w:ind w:left="140"/>
            </w:pPr>
            <w:r>
              <w:rPr>
                <w:spacing w:val="-6"/>
              </w:rPr>
              <w:t>ZXKT2025273</w:t>
            </w:r>
          </w:p>
        </w:tc>
        <w:tc>
          <w:tcPr>
            <w:tcW w:w="4617" w:type="dxa"/>
            <w:vAlign w:val="top"/>
          </w:tcPr>
          <w:p w14:paraId="496938C6">
            <w:pPr>
              <w:pStyle w:val="6"/>
              <w:spacing w:before="209" w:line="208" w:lineRule="auto"/>
              <w:ind w:left="110"/>
            </w:pPr>
            <w:r>
              <w:rPr>
                <w:spacing w:val="9"/>
              </w:rPr>
              <w:t>聊城市绿色金融促进农业高质量发展问题研究</w:t>
            </w:r>
          </w:p>
        </w:tc>
        <w:tc>
          <w:tcPr>
            <w:tcW w:w="966" w:type="dxa"/>
            <w:vAlign w:val="top"/>
          </w:tcPr>
          <w:p w14:paraId="1D5F8389">
            <w:pPr>
              <w:pStyle w:val="6"/>
              <w:spacing w:before="210" w:line="207" w:lineRule="auto"/>
              <w:ind w:left="171"/>
            </w:pPr>
            <w:r>
              <w:rPr>
                <w:spacing w:val="7"/>
              </w:rPr>
              <w:t>樊舒心</w:t>
            </w:r>
          </w:p>
        </w:tc>
        <w:tc>
          <w:tcPr>
            <w:tcW w:w="2127" w:type="dxa"/>
            <w:vAlign w:val="top"/>
          </w:tcPr>
          <w:p w14:paraId="12F01783">
            <w:pPr>
              <w:pStyle w:val="6"/>
              <w:spacing w:before="209" w:line="208" w:lineRule="auto"/>
              <w:ind w:left="112"/>
            </w:pPr>
            <w:r>
              <w:rPr>
                <w:spacing w:val="9"/>
              </w:rPr>
              <w:t>聊城大学季羡林学院</w:t>
            </w:r>
          </w:p>
        </w:tc>
        <w:tc>
          <w:tcPr>
            <w:tcW w:w="2126" w:type="dxa"/>
            <w:vAlign w:val="top"/>
          </w:tcPr>
          <w:p w14:paraId="798B44E0">
            <w:pPr>
              <w:pStyle w:val="6"/>
              <w:spacing w:before="209" w:line="208" w:lineRule="auto"/>
              <w:ind w:left="111"/>
            </w:pPr>
            <w:r>
              <w:rPr>
                <w:spacing w:val="9"/>
              </w:rPr>
              <w:t>市级报纸理论版发表</w:t>
            </w:r>
          </w:p>
        </w:tc>
        <w:tc>
          <w:tcPr>
            <w:tcW w:w="826" w:type="dxa"/>
            <w:vAlign w:val="top"/>
          </w:tcPr>
          <w:p w14:paraId="0CD22CB3">
            <w:pPr>
              <w:pStyle w:val="6"/>
              <w:spacing w:before="210" w:line="208" w:lineRule="auto"/>
              <w:ind w:left="207"/>
            </w:pPr>
            <w:r>
              <w:rPr>
                <w:spacing w:val="6"/>
              </w:rPr>
              <w:t>一般</w:t>
            </w:r>
          </w:p>
        </w:tc>
        <w:tc>
          <w:tcPr>
            <w:tcW w:w="752" w:type="dxa"/>
            <w:vAlign w:val="top"/>
          </w:tcPr>
          <w:p w14:paraId="1A92E2EB">
            <w:pPr>
              <w:pStyle w:val="6"/>
              <w:spacing w:before="209" w:line="208" w:lineRule="auto"/>
              <w:ind w:left="167"/>
            </w:pPr>
            <w:r>
              <w:rPr>
                <w:spacing w:val="6"/>
              </w:rPr>
              <w:t>优秀</w:t>
            </w:r>
          </w:p>
        </w:tc>
      </w:tr>
      <w:tr w14:paraId="3E717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34" w:type="dxa"/>
            <w:vAlign w:val="top"/>
          </w:tcPr>
          <w:p w14:paraId="27BA0C14">
            <w:pPr>
              <w:pStyle w:val="6"/>
              <w:spacing w:before="205" w:line="225" w:lineRule="auto"/>
              <w:ind w:left="274"/>
            </w:pPr>
            <w:r>
              <w:rPr>
                <w:spacing w:val="-15"/>
              </w:rPr>
              <w:t>10</w:t>
            </w:r>
          </w:p>
        </w:tc>
        <w:tc>
          <w:tcPr>
            <w:tcW w:w="1525" w:type="dxa"/>
            <w:vAlign w:val="top"/>
          </w:tcPr>
          <w:p w14:paraId="24288AC5">
            <w:pPr>
              <w:pStyle w:val="6"/>
              <w:spacing w:before="204" w:line="225" w:lineRule="auto"/>
              <w:ind w:left="140"/>
            </w:pPr>
            <w:r>
              <w:rPr>
                <w:spacing w:val="-6"/>
              </w:rPr>
              <w:t>ZXKT2025274</w:t>
            </w:r>
          </w:p>
        </w:tc>
        <w:tc>
          <w:tcPr>
            <w:tcW w:w="4617" w:type="dxa"/>
            <w:vAlign w:val="top"/>
          </w:tcPr>
          <w:p w14:paraId="0D182C94">
            <w:pPr>
              <w:pStyle w:val="6"/>
              <w:spacing w:before="48" w:line="206" w:lineRule="auto"/>
              <w:ind w:left="107" w:right="100" w:firstLine="6"/>
            </w:pPr>
            <w:r>
              <w:rPr>
                <w:spacing w:val="9"/>
              </w:rPr>
              <w:t>大学生使用</w:t>
            </w:r>
            <w:r>
              <w:rPr>
                <w:spacing w:val="54"/>
              </w:rPr>
              <w:t xml:space="preserve"> </w:t>
            </w:r>
            <w:r>
              <w:t>AI</w:t>
            </w:r>
            <w:r>
              <w:rPr>
                <w:spacing w:val="53"/>
                <w:w w:val="101"/>
              </w:rPr>
              <w:t xml:space="preserve"> </w:t>
            </w:r>
            <w:r>
              <w:rPr>
                <w:spacing w:val="9"/>
              </w:rPr>
              <w:t>学习工具的行为动机与影响因素</w:t>
            </w:r>
            <w:r>
              <w:rPr>
                <w:spacing w:val="7"/>
              </w:rPr>
              <w:t>研究</w:t>
            </w:r>
          </w:p>
        </w:tc>
        <w:tc>
          <w:tcPr>
            <w:tcW w:w="966" w:type="dxa"/>
            <w:vAlign w:val="top"/>
          </w:tcPr>
          <w:p w14:paraId="2B29CAA0">
            <w:pPr>
              <w:pStyle w:val="6"/>
              <w:spacing w:before="205" w:line="208" w:lineRule="auto"/>
              <w:ind w:left="170"/>
            </w:pPr>
            <w:r>
              <w:rPr>
                <w:spacing w:val="8"/>
              </w:rPr>
              <w:t>姜伊凡</w:t>
            </w:r>
          </w:p>
        </w:tc>
        <w:tc>
          <w:tcPr>
            <w:tcW w:w="2127" w:type="dxa"/>
            <w:vAlign w:val="top"/>
          </w:tcPr>
          <w:p w14:paraId="7001026E">
            <w:pPr>
              <w:pStyle w:val="6"/>
              <w:spacing w:before="204" w:line="208" w:lineRule="auto"/>
              <w:ind w:left="112"/>
            </w:pPr>
            <w:r>
              <w:rPr>
                <w:spacing w:val="9"/>
              </w:rPr>
              <w:t>聊城大学季羡林学院</w:t>
            </w:r>
          </w:p>
        </w:tc>
        <w:tc>
          <w:tcPr>
            <w:tcW w:w="2126" w:type="dxa"/>
            <w:vAlign w:val="top"/>
          </w:tcPr>
          <w:p w14:paraId="6B5A3BC3">
            <w:pPr>
              <w:pStyle w:val="6"/>
              <w:spacing w:before="204" w:line="208" w:lineRule="auto"/>
              <w:ind w:left="111"/>
            </w:pPr>
            <w:r>
              <w:rPr>
                <w:spacing w:val="9"/>
              </w:rPr>
              <w:t>市级报纸理论版发表</w:t>
            </w:r>
          </w:p>
        </w:tc>
        <w:tc>
          <w:tcPr>
            <w:tcW w:w="826" w:type="dxa"/>
            <w:vAlign w:val="top"/>
          </w:tcPr>
          <w:p w14:paraId="7F6AA631">
            <w:pPr>
              <w:pStyle w:val="6"/>
              <w:spacing w:before="205" w:line="208" w:lineRule="auto"/>
              <w:ind w:left="207"/>
            </w:pPr>
            <w:r>
              <w:rPr>
                <w:spacing w:val="6"/>
              </w:rPr>
              <w:t>一般</w:t>
            </w:r>
          </w:p>
        </w:tc>
        <w:tc>
          <w:tcPr>
            <w:tcW w:w="752" w:type="dxa"/>
            <w:vAlign w:val="top"/>
          </w:tcPr>
          <w:p w14:paraId="47F0A32D">
            <w:pPr>
              <w:pStyle w:val="6"/>
              <w:spacing w:before="204" w:line="208" w:lineRule="auto"/>
              <w:ind w:left="167"/>
            </w:pPr>
            <w:r>
              <w:rPr>
                <w:spacing w:val="6"/>
              </w:rPr>
              <w:t>优秀</w:t>
            </w:r>
          </w:p>
        </w:tc>
      </w:tr>
      <w:tr w14:paraId="32565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34" w:type="dxa"/>
            <w:vAlign w:val="top"/>
          </w:tcPr>
          <w:p w14:paraId="3E3CE5CE">
            <w:pPr>
              <w:pStyle w:val="6"/>
              <w:spacing w:before="206" w:line="227" w:lineRule="auto"/>
              <w:ind w:left="274"/>
            </w:pPr>
            <w:r>
              <w:rPr>
                <w:spacing w:val="-15"/>
              </w:rPr>
              <w:t>11</w:t>
            </w:r>
          </w:p>
        </w:tc>
        <w:tc>
          <w:tcPr>
            <w:tcW w:w="1525" w:type="dxa"/>
            <w:vAlign w:val="top"/>
          </w:tcPr>
          <w:p w14:paraId="18EFAE8E">
            <w:pPr>
              <w:pStyle w:val="6"/>
              <w:spacing w:before="207" w:line="225" w:lineRule="auto"/>
              <w:ind w:left="140"/>
            </w:pPr>
            <w:r>
              <w:rPr>
                <w:spacing w:val="-6"/>
              </w:rPr>
              <w:t>ZXKT2025276</w:t>
            </w:r>
          </w:p>
        </w:tc>
        <w:tc>
          <w:tcPr>
            <w:tcW w:w="4617" w:type="dxa"/>
            <w:vAlign w:val="top"/>
          </w:tcPr>
          <w:p w14:paraId="660009C6">
            <w:pPr>
              <w:pStyle w:val="6"/>
              <w:spacing w:before="49" w:line="206" w:lineRule="auto"/>
              <w:ind w:left="104" w:right="518" w:firstLine="3"/>
            </w:pPr>
            <w:r>
              <w:rPr>
                <w:spacing w:val="9"/>
              </w:rPr>
              <w:t>人工智能赋能聊城市化工产业升级路径研究</w:t>
            </w:r>
            <w:r>
              <w:rPr>
                <w:spacing w:val="8"/>
              </w:rPr>
              <w:t>——基于含能材料创新的社会科学视角</w:t>
            </w:r>
          </w:p>
        </w:tc>
        <w:tc>
          <w:tcPr>
            <w:tcW w:w="966" w:type="dxa"/>
            <w:vAlign w:val="top"/>
          </w:tcPr>
          <w:p w14:paraId="5893C01D">
            <w:pPr>
              <w:pStyle w:val="6"/>
              <w:spacing w:before="207" w:line="206" w:lineRule="auto"/>
              <w:ind w:left="276"/>
            </w:pPr>
            <w:r>
              <w:rPr>
                <w:spacing w:val="6"/>
              </w:rPr>
              <w:t>崔硕</w:t>
            </w:r>
          </w:p>
        </w:tc>
        <w:tc>
          <w:tcPr>
            <w:tcW w:w="2127" w:type="dxa"/>
            <w:vAlign w:val="top"/>
          </w:tcPr>
          <w:p w14:paraId="2C75DAE3">
            <w:pPr>
              <w:pStyle w:val="6"/>
              <w:spacing w:before="206" w:line="208" w:lineRule="auto"/>
              <w:ind w:left="112"/>
            </w:pPr>
            <w:r>
              <w:rPr>
                <w:spacing w:val="9"/>
              </w:rPr>
              <w:t>聊城大学季羡林学院</w:t>
            </w:r>
          </w:p>
        </w:tc>
        <w:tc>
          <w:tcPr>
            <w:tcW w:w="2126" w:type="dxa"/>
            <w:vAlign w:val="top"/>
          </w:tcPr>
          <w:p w14:paraId="30326051">
            <w:pPr>
              <w:pStyle w:val="6"/>
              <w:spacing w:before="206" w:line="208" w:lineRule="auto"/>
              <w:ind w:left="111"/>
            </w:pPr>
            <w:r>
              <w:rPr>
                <w:spacing w:val="9"/>
              </w:rPr>
              <w:t>市级报纸理论版发表</w:t>
            </w:r>
          </w:p>
        </w:tc>
        <w:tc>
          <w:tcPr>
            <w:tcW w:w="826" w:type="dxa"/>
            <w:vAlign w:val="top"/>
          </w:tcPr>
          <w:p w14:paraId="65500EB1">
            <w:pPr>
              <w:pStyle w:val="6"/>
              <w:spacing w:before="207" w:line="208" w:lineRule="auto"/>
              <w:ind w:left="207"/>
            </w:pPr>
            <w:r>
              <w:rPr>
                <w:spacing w:val="6"/>
              </w:rPr>
              <w:t>一般</w:t>
            </w:r>
          </w:p>
        </w:tc>
        <w:tc>
          <w:tcPr>
            <w:tcW w:w="752" w:type="dxa"/>
            <w:vAlign w:val="top"/>
          </w:tcPr>
          <w:p w14:paraId="273060AA">
            <w:pPr>
              <w:pStyle w:val="6"/>
              <w:spacing w:before="206" w:line="208" w:lineRule="auto"/>
              <w:ind w:left="167"/>
            </w:pPr>
            <w:r>
              <w:rPr>
                <w:spacing w:val="6"/>
              </w:rPr>
              <w:t>优秀</w:t>
            </w:r>
          </w:p>
        </w:tc>
      </w:tr>
      <w:tr w14:paraId="3531F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34" w:type="dxa"/>
            <w:vAlign w:val="top"/>
          </w:tcPr>
          <w:p w14:paraId="59C4D7E0">
            <w:pPr>
              <w:pStyle w:val="6"/>
              <w:spacing w:before="205" w:line="227" w:lineRule="auto"/>
              <w:ind w:left="274"/>
            </w:pPr>
            <w:r>
              <w:rPr>
                <w:spacing w:val="-15"/>
              </w:rPr>
              <w:t>12</w:t>
            </w:r>
          </w:p>
        </w:tc>
        <w:tc>
          <w:tcPr>
            <w:tcW w:w="1525" w:type="dxa"/>
            <w:vAlign w:val="top"/>
          </w:tcPr>
          <w:p w14:paraId="6A3B8A8C">
            <w:pPr>
              <w:pStyle w:val="6"/>
              <w:spacing w:before="205" w:line="225" w:lineRule="auto"/>
              <w:ind w:left="140"/>
            </w:pPr>
            <w:r>
              <w:rPr>
                <w:spacing w:val="-6"/>
              </w:rPr>
              <w:t>ZXKT2025277</w:t>
            </w:r>
          </w:p>
        </w:tc>
        <w:tc>
          <w:tcPr>
            <w:tcW w:w="4617" w:type="dxa"/>
            <w:vAlign w:val="top"/>
          </w:tcPr>
          <w:p w14:paraId="14A6CCEC">
            <w:pPr>
              <w:pStyle w:val="6"/>
              <w:spacing w:before="206" w:line="208" w:lineRule="auto"/>
              <w:ind w:left="108"/>
            </w:pPr>
            <w:r>
              <w:rPr>
                <w:spacing w:val="9"/>
              </w:rPr>
              <w:t>棉花全产业链现代化转型路径研究</w:t>
            </w:r>
          </w:p>
        </w:tc>
        <w:tc>
          <w:tcPr>
            <w:tcW w:w="966" w:type="dxa"/>
            <w:vAlign w:val="top"/>
          </w:tcPr>
          <w:p w14:paraId="0CAACA60">
            <w:pPr>
              <w:pStyle w:val="6"/>
              <w:spacing w:before="206" w:line="207" w:lineRule="auto"/>
              <w:ind w:left="176"/>
            </w:pPr>
            <w:r>
              <w:rPr>
                <w:spacing w:val="5"/>
              </w:rPr>
              <w:t>于沛楚</w:t>
            </w:r>
          </w:p>
        </w:tc>
        <w:tc>
          <w:tcPr>
            <w:tcW w:w="2127" w:type="dxa"/>
            <w:vAlign w:val="top"/>
          </w:tcPr>
          <w:p w14:paraId="59126C18">
            <w:pPr>
              <w:pStyle w:val="6"/>
              <w:spacing w:before="205" w:line="208" w:lineRule="auto"/>
              <w:ind w:left="112"/>
            </w:pPr>
            <w:r>
              <w:rPr>
                <w:spacing w:val="9"/>
              </w:rPr>
              <w:t>聊城大学季羡林学院</w:t>
            </w:r>
          </w:p>
        </w:tc>
        <w:tc>
          <w:tcPr>
            <w:tcW w:w="2126" w:type="dxa"/>
            <w:vAlign w:val="top"/>
          </w:tcPr>
          <w:p w14:paraId="424C3E57">
            <w:pPr>
              <w:pStyle w:val="6"/>
              <w:spacing w:before="205" w:line="208" w:lineRule="auto"/>
              <w:ind w:left="111"/>
            </w:pPr>
            <w:r>
              <w:rPr>
                <w:spacing w:val="9"/>
              </w:rPr>
              <w:t>市级报纸理论版发表</w:t>
            </w:r>
          </w:p>
        </w:tc>
        <w:tc>
          <w:tcPr>
            <w:tcW w:w="826" w:type="dxa"/>
            <w:vAlign w:val="top"/>
          </w:tcPr>
          <w:p w14:paraId="387B5DEC">
            <w:pPr>
              <w:pStyle w:val="6"/>
              <w:spacing w:before="206" w:line="208" w:lineRule="auto"/>
              <w:ind w:left="207"/>
            </w:pPr>
            <w:r>
              <w:rPr>
                <w:spacing w:val="6"/>
              </w:rPr>
              <w:t>一般</w:t>
            </w:r>
          </w:p>
        </w:tc>
        <w:tc>
          <w:tcPr>
            <w:tcW w:w="752" w:type="dxa"/>
            <w:vAlign w:val="top"/>
          </w:tcPr>
          <w:p w14:paraId="5EBA0839">
            <w:pPr>
              <w:pStyle w:val="6"/>
              <w:spacing w:before="205" w:line="208" w:lineRule="auto"/>
              <w:ind w:left="167"/>
            </w:pPr>
            <w:r>
              <w:rPr>
                <w:spacing w:val="6"/>
              </w:rPr>
              <w:t>优秀</w:t>
            </w:r>
          </w:p>
        </w:tc>
      </w:tr>
      <w:tr w14:paraId="1C842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34" w:type="dxa"/>
            <w:vAlign w:val="top"/>
          </w:tcPr>
          <w:p w14:paraId="57836197">
            <w:pPr>
              <w:pStyle w:val="6"/>
              <w:spacing w:before="207" w:line="225" w:lineRule="auto"/>
              <w:ind w:left="274"/>
            </w:pPr>
            <w:r>
              <w:rPr>
                <w:spacing w:val="-15"/>
              </w:rPr>
              <w:t>13</w:t>
            </w:r>
          </w:p>
        </w:tc>
        <w:tc>
          <w:tcPr>
            <w:tcW w:w="1525" w:type="dxa"/>
            <w:vAlign w:val="top"/>
          </w:tcPr>
          <w:p w14:paraId="40DFFF4C">
            <w:pPr>
              <w:pStyle w:val="6"/>
              <w:spacing w:before="207" w:line="225" w:lineRule="auto"/>
              <w:ind w:left="140"/>
            </w:pPr>
            <w:r>
              <w:rPr>
                <w:spacing w:val="-6"/>
              </w:rPr>
              <w:t>ZXKT2025278</w:t>
            </w:r>
          </w:p>
        </w:tc>
        <w:tc>
          <w:tcPr>
            <w:tcW w:w="4617" w:type="dxa"/>
            <w:vAlign w:val="top"/>
          </w:tcPr>
          <w:p w14:paraId="7605C851">
            <w:pPr>
              <w:pStyle w:val="6"/>
              <w:spacing w:before="51" w:line="205" w:lineRule="auto"/>
              <w:ind w:left="107" w:right="309" w:firstLine="3"/>
            </w:pPr>
            <w:r>
              <w:rPr>
                <w:spacing w:val="9"/>
              </w:rPr>
              <w:t>聊城灵芝产业种植采收环节现状调研与智能化解决方案研究</w:t>
            </w:r>
          </w:p>
        </w:tc>
        <w:tc>
          <w:tcPr>
            <w:tcW w:w="966" w:type="dxa"/>
            <w:vAlign w:val="top"/>
          </w:tcPr>
          <w:p w14:paraId="2F8FF2BD">
            <w:pPr>
              <w:pStyle w:val="6"/>
              <w:spacing w:before="206" w:line="209" w:lineRule="auto"/>
              <w:ind w:left="180"/>
            </w:pPr>
            <w:r>
              <w:rPr>
                <w:spacing w:val="4"/>
              </w:rPr>
              <w:t>陈靖宇</w:t>
            </w:r>
          </w:p>
        </w:tc>
        <w:tc>
          <w:tcPr>
            <w:tcW w:w="2127" w:type="dxa"/>
            <w:vAlign w:val="top"/>
          </w:tcPr>
          <w:p w14:paraId="322449C7">
            <w:pPr>
              <w:pStyle w:val="6"/>
              <w:spacing w:before="206" w:line="208" w:lineRule="auto"/>
              <w:ind w:left="112"/>
            </w:pPr>
            <w:r>
              <w:rPr>
                <w:spacing w:val="9"/>
              </w:rPr>
              <w:t>聊城大学季羡林学院</w:t>
            </w:r>
          </w:p>
        </w:tc>
        <w:tc>
          <w:tcPr>
            <w:tcW w:w="2126" w:type="dxa"/>
            <w:vAlign w:val="top"/>
          </w:tcPr>
          <w:p w14:paraId="682E31AE">
            <w:pPr>
              <w:pStyle w:val="6"/>
              <w:spacing w:before="206" w:line="208" w:lineRule="auto"/>
              <w:ind w:left="111"/>
            </w:pPr>
            <w:r>
              <w:rPr>
                <w:spacing w:val="9"/>
              </w:rPr>
              <w:t>市级报纸理论版发表</w:t>
            </w:r>
          </w:p>
        </w:tc>
        <w:tc>
          <w:tcPr>
            <w:tcW w:w="826" w:type="dxa"/>
            <w:vAlign w:val="top"/>
          </w:tcPr>
          <w:p w14:paraId="386B30A5">
            <w:pPr>
              <w:pStyle w:val="6"/>
              <w:spacing w:before="207" w:line="208" w:lineRule="auto"/>
              <w:ind w:left="207"/>
            </w:pPr>
            <w:r>
              <w:rPr>
                <w:spacing w:val="6"/>
              </w:rPr>
              <w:t>一般</w:t>
            </w:r>
          </w:p>
        </w:tc>
        <w:tc>
          <w:tcPr>
            <w:tcW w:w="752" w:type="dxa"/>
            <w:vAlign w:val="top"/>
          </w:tcPr>
          <w:p w14:paraId="03B62BC7">
            <w:pPr>
              <w:pStyle w:val="6"/>
              <w:spacing w:before="206" w:line="208" w:lineRule="auto"/>
              <w:ind w:left="167"/>
            </w:pPr>
            <w:r>
              <w:rPr>
                <w:spacing w:val="6"/>
              </w:rPr>
              <w:t>优秀</w:t>
            </w:r>
          </w:p>
        </w:tc>
      </w:tr>
      <w:tr w14:paraId="5E008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34" w:type="dxa"/>
            <w:vAlign w:val="top"/>
          </w:tcPr>
          <w:p w14:paraId="4EB5C645">
            <w:pPr>
              <w:pStyle w:val="6"/>
              <w:spacing w:before="206" w:line="227" w:lineRule="auto"/>
              <w:ind w:left="274"/>
            </w:pPr>
            <w:r>
              <w:rPr>
                <w:spacing w:val="-15"/>
              </w:rPr>
              <w:t>14</w:t>
            </w:r>
          </w:p>
        </w:tc>
        <w:tc>
          <w:tcPr>
            <w:tcW w:w="1525" w:type="dxa"/>
            <w:vAlign w:val="top"/>
          </w:tcPr>
          <w:p w14:paraId="4137263C">
            <w:pPr>
              <w:pStyle w:val="6"/>
              <w:spacing w:before="206" w:line="225" w:lineRule="auto"/>
              <w:ind w:left="140"/>
            </w:pPr>
            <w:r>
              <w:rPr>
                <w:spacing w:val="-6"/>
              </w:rPr>
              <w:t>ZXKT2025279</w:t>
            </w:r>
          </w:p>
        </w:tc>
        <w:tc>
          <w:tcPr>
            <w:tcW w:w="4617" w:type="dxa"/>
            <w:vAlign w:val="top"/>
          </w:tcPr>
          <w:p w14:paraId="1ACE4C41">
            <w:pPr>
              <w:pStyle w:val="6"/>
              <w:spacing w:before="49" w:line="206" w:lineRule="auto"/>
              <w:ind w:left="106" w:right="309" w:firstLine="5"/>
            </w:pPr>
            <w:r>
              <w:rPr>
                <w:spacing w:val="9"/>
              </w:rPr>
              <w:t>双碳目标驱动下聊城公众参与生态环境治理的模式创新与激励机制研究</w:t>
            </w:r>
          </w:p>
        </w:tc>
        <w:tc>
          <w:tcPr>
            <w:tcW w:w="966" w:type="dxa"/>
            <w:vAlign w:val="top"/>
          </w:tcPr>
          <w:p w14:paraId="7F11B323">
            <w:pPr>
              <w:pStyle w:val="6"/>
              <w:spacing w:before="206" w:line="208" w:lineRule="auto"/>
              <w:ind w:left="175"/>
            </w:pPr>
            <w:r>
              <w:rPr>
                <w:spacing w:val="6"/>
              </w:rPr>
              <w:t>张欣怡</w:t>
            </w:r>
          </w:p>
        </w:tc>
        <w:tc>
          <w:tcPr>
            <w:tcW w:w="2127" w:type="dxa"/>
            <w:vAlign w:val="top"/>
          </w:tcPr>
          <w:p w14:paraId="57EE3B36">
            <w:pPr>
              <w:pStyle w:val="6"/>
              <w:spacing w:before="206" w:line="208" w:lineRule="auto"/>
              <w:ind w:left="112"/>
            </w:pPr>
            <w:r>
              <w:rPr>
                <w:spacing w:val="9"/>
              </w:rPr>
              <w:t>聊城大学季羡林学院</w:t>
            </w:r>
          </w:p>
        </w:tc>
        <w:tc>
          <w:tcPr>
            <w:tcW w:w="2126" w:type="dxa"/>
            <w:vAlign w:val="top"/>
          </w:tcPr>
          <w:p w14:paraId="016EA9DF">
            <w:pPr>
              <w:pStyle w:val="6"/>
              <w:spacing w:before="206" w:line="208" w:lineRule="auto"/>
              <w:ind w:left="111"/>
            </w:pPr>
            <w:r>
              <w:rPr>
                <w:spacing w:val="9"/>
              </w:rPr>
              <w:t>市级报纸理论版发表</w:t>
            </w:r>
          </w:p>
        </w:tc>
        <w:tc>
          <w:tcPr>
            <w:tcW w:w="826" w:type="dxa"/>
            <w:vAlign w:val="top"/>
          </w:tcPr>
          <w:p w14:paraId="689BDCF0">
            <w:pPr>
              <w:pStyle w:val="6"/>
              <w:spacing w:before="207" w:line="208" w:lineRule="auto"/>
              <w:ind w:left="207"/>
            </w:pPr>
            <w:r>
              <w:rPr>
                <w:spacing w:val="6"/>
              </w:rPr>
              <w:t>一般</w:t>
            </w:r>
          </w:p>
        </w:tc>
        <w:tc>
          <w:tcPr>
            <w:tcW w:w="752" w:type="dxa"/>
            <w:vAlign w:val="top"/>
          </w:tcPr>
          <w:p w14:paraId="6B6A7374">
            <w:pPr>
              <w:pStyle w:val="6"/>
              <w:spacing w:before="206" w:line="208" w:lineRule="auto"/>
              <w:ind w:left="167"/>
            </w:pPr>
            <w:r>
              <w:rPr>
                <w:spacing w:val="6"/>
              </w:rPr>
              <w:t>优秀</w:t>
            </w:r>
          </w:p>
        </w:tc>
      </w:tr>
      <w:tr w14:paraId="25212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34" w:type="dxa"/>
            <w:vAlign w:val="top"/>
          </w:tcPr>
          <w:p w14:paraId="4A88B875">
            <w:pPr>
              <w:pStyle w:val="6"/>
              <w:spacing w:before="208" w:line="225" w:lineRule="auto"/>
              <w:ind w:left="274"/>
            </w:pPr>
            <w:r>
              <w:rPr>
                <w:spacing w:val="-15"/>
              </w:rPr>
              <w:t>15</w:t>
            </w:r>
          </w:p>
        </w:tc>
        <w:tc>
          <w:tcPr>
            <w:tcW w:w="1525" w:type="dxa"/>
            <w:vAlign w:val="top"/>
          </w:tcPr>
          <w:p w14:paraId="4DEC362D">
            <w:pPr>
              <w:pStyle w:val="6"/>
              <w:spacing w:before="208" w:line="225" w:lineRule="auto"/>
              <w:ind w:left="140"/>
            </w:pPr>
            <w:r>
              <w:rPr>
                <w:spacing w:val="-6"/>
              </w:rPr>
              <w:t>ZXKT2025280</w:t>
            </w:r>
          </w:p>
        </w:tc>
        <w:tc>
          <w:tcPr>
            <w:tcW w:w="4617" w:type="dxa"/>
            <w:vAlign w:val="top"/>
          </w:tcPr>
          <w:p w14:paraId="3D426D57">
            <w:pPr>
              <w:pStyle w:val="6"/>
              <w:spacing w:before="208" w:line="207" w:lineRule="auto"/>
              <w:ind w:left="109"/>
            </w:pPr>
            <w:r>
              <w:rPr>
                <w:spacing w:val="9"/>
              </w:rPr>
              <w:t>绿色金融赋能黄河流域生态保护路径分析</w:t>
            </w:r>
          </w:p>
        </w:tc>
        <w:tc>
          <w:tcPr>
            <w:tcW w:w="966" w:type="dxa"/>
            <w:vAlign w:val="top"/>
          </w:tcPr>
          <w:p w14:paraId="4D868B78">
            <w:pPr>
              <w:pStyle w:val="6"/>
              <w:spacing w:before="207" w:line="208" w:lineRule="auto"/>
              <w:ind w:left="168"/>
            </w:pPr>
            <w:r>
              <w:rPr>
                <w:spacing w:val="8"/>
              </w:rPr>
              <w:t>蔡诗曼</w:t>
            </w:r>
          </w:p>
        </w:tc>
        <w:tc>
          <w:tcPr>
            <w:tcW w:w="2127" w:type="dxa"/>
            <w:vAlign w:val="top"/>
          </w:tcPr>
          <w:p w14:paraId="438E7173">
            <w:pPr>
              <w:pStyle w:val="6"/>
              <w:spacing w:before="207" w:line="208" w:lineRule="auto"/>
              <w:ind w:left="112"/>
            </w:pPr>
            <w:r>
              <w:rPr>
                <w:spacing w:val="9"/>
              </w:rPr>
              <w:t>聊城大学季羡林学院</w:t>
            </w:r>
          </w:p>
        </w:tc>
        <w:tc>
          <w:tcPr>
            <w:tcW w:w="2126" w:type="dxa"/>
            <w:vAlign w:val="top"/>
          </w:tcPr>
          <w:p w14:paraId="074B283D">
            <w:pPr>
              <w:pStyle w:val="6"/>
              <w:spacing w:before="207" w:line="208" w:lineRule="auto"/>
              <w:ind w:left="115"/>
            </w:pPr>
            <w:r>
              <w:rPr>
                <w:spacing w:val="8"/>
              </w:rPr>
              <w:t>副市厅级领导签批</w:t>
            </w:r>
          </w:p>
        </w:tc>
        <w:tc>
          <w:tcPr>
            <w:tcW w:w="826" w:type="dxa"/>
            <w:vAlign w:val="top"/>
          </w:tcPr>
          <w:p w14:paraId="1A3C61C8">
            <w:pPr>
              <w:pStyle w:val="6"/>
              <w:spacing w:before="208" w:line="208" w:lineRule="auto"/>
              <w:ind w:left="207"/>
            </w:pPr>
            <w:r>
              <w:rPr>
                <w:spacing w:val="6"/>
              </w:rPr>
              <w:t>一般</w:t>
            </w:r>
          </w:p>
        </w:tc>
        <w:tc>
          <w:tcPr>
            <w:tcW w:w="752" w:type="dxa"/>
            <w:vAlign w:val="top"/>
          </w:tcPr>
          <w:p w14:paraId="51FC8BDA">
            <w:pPr>
              <w:pStyle w:val="6"/>
              <w:spacing w:before="207" w:line="208" w:lineRule="auto"/>
              <w:ind w:left="167"/>
            </w:pPr>
            <w:r>
              <w:rPr>
                <w:spacing w:val="6"/>
              </w:rPr>
              <w:t>优秀</w:t>
            </w:r>
          </w:p>
        </w:tc>
      </w:tr>
      <w:tr w14:paraId="082D4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34" w:type="dxa"/>
            <w:vAlign w:val="top"/>
          </w:tcPr>
          <w:p w14:paraId="7639B758">
            <w:pPr>
              <w:pStyle w:val="6"/>
              <w:spacing w:before="208" w:line="225" w:lineRule="auto"/>
              <w:ind w:left="274"/>
            </w:pPr>
            <w:r>
              <w:rPr>
                <w:spacing w:val="-15"/>
              </w:rPr>
              <w:t>16</w:t>
            </w:r>
          </w:p>
        </w:tc>
        <w:tc>
          <w:tcPr>
            <w:tcW w:w="1525" w:type="dxa"/>
            <w:vAlign w:val="top"/>
          </w:tcPr>
          <w:p w14:paraId="626E575B">
            <w:pPr>
              <w:pStyle w:val="6"/>
              <w:spacing w:before="207" w:line="225" w:lineRule="auto"/>
              <w:ind w:left="140"/>
            </w:pPr>
            <w:r>
              <w:rPr>
                <w:spacing w:val="-6"/>
              </w:rPr>
              <w:t>ZXKT2025281</w:t>
            </w:r>
          </w:p>
        </w:tc>
        <w:tc>
          <w:tcPr>
            <w:tcW w:w="4617" w:type="dxa"/>
            <w:vAlign w:val="top"/>
          </w:tcPr>
          <w:p w14:paraId="009F71CA">
            <w:pPr>
              <w:pStyle w:val="6"/>
              <w:spacing w:before="52" w:line="205" w:lineRule="auto"/>
              <w:ind w:left="107" w:right="309" w:firstLine="1"/>
            </w:pPr>
            <w:r>
              <w:rPr>
                <w:spacing w:val="9"/>
              </w:rPr>
              <w:t>数字经济提升农村居民消费水平的机制与路径</w:t>
            </w:r>
            <w:r>
              <w:rPr>
                <w:spacing w:val="7"/>
              </w:rPr>
              <w:t>研究</w:t>
            </w:r>
          </w:p>
        </w:tc>
        <w:tc>
          <w:tcPr>
            <w:tcW w:w="966" w:type="dxa"/>
            <w:vAlign w:val="top"/>
          </w:tcPr>
          <w:p w14:paraId="129374B3">
            <w:pPr>
              <w:pStyle w:val="6"/>
              <w:spacing w:before="208" w:line="207" w:lineRule="auto"/>
              <w:ind w:left="168"/>
            </w:pPr>
            <w:r>
              <w:rPr>
                <w:spacing w:val="8"/>
              </w:rPr>
              <w:t>刘嘉萱</w:t>
            </w:r>
          </w:p>
        </w:tc>
        <w:tc>
          <w:tcPr>
            <w:tcW w:w="2127" w:type="dxa"/>
            <w:vAlign w:val="top"/>
          </w:tcPr>
          <w:p w14:paraId="16DCA308">
            <w:pPr>
              <w:pStyle w:val="6"/>
              <w:spacing w:before="207" w:line="208" w:lineRule="auto"/>
              <w:ind w:left="112"/>
            </w:pPr>
            <w:r>
              <w:rPr>
                <w:spacing w:val="9"/>
              </w:rPr>
              <w:t>聊城大学季羡林学院</w:t>
            </w:r>
          </w:p>
        </w:tc>
        <w:tc>
          <w:tcPr>
            <w:tcW w:w="2126" w:type="dxa"/>
            <w:vAlign w:val="top"/>
          </w:tcPr>
          <w:p w14:paraId="6C3BA376">
            <w:pPr>
              <w:pStyle w:val="6"/>
              <w:spacing w:before="207" w:line="208" w:lineRule="auto"/>
              <w:ind w:left="115"/>
            </w:pPr>
            <w:r>
              <w:rPr>
                <w:spacing w:val="8"/>
              </w:rPr>
              <w:t>副市厅级领导签批</w:t>
            </w:r>
          </w:p>
        </w:tc>
        <w:tc>
          <w:tcPr>
            <w:tcW w:w="826" w:type="dxa"/>
            <w:vAlign w:val="top"/>
          </w:tcPr>
          <w:p w14:paraId="02FA37B2">
            <w:pPr>
              <w:pStyle w:val="6"/>
              <w:spacing w:before="208" w:line="208" w:lineRule="auto"/>
              <w:ind w:left="207"/>
            </w:pPr>
            <w:r>
              <w:rPr>
                <w:spacing w:val="6"/>
              </w:rPr>
              <w:t>一般</w:t>
            </w:r>
          </w:p>
        </w:tc>
        <w:tc>
          <w:tcPr>
            <w:tcW w:w="752" w:type="dxa"/>
            <w:vAlign w:val="top"/>
          </w:tcPr>
          <w:p w14:paraId="574620DD">
            <w:pPr>
              <w:pStyle w:val="6"/>
              <w:spacing w:before="207" w:line="208" w:lineRule="auto"/>
              <w:ind w:left="167"/>
            </w:pPr>
            <w:r>
              <w:rPr>
                <w:spacing w:val="6"/>
              </w:rPr>
              <w:t>优秀</w:t>
            </w:r>
          </w:p>
        </w:tc>
      </w:tr>
      <w:tr w14:paraId="491B4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34" w:type="dxa"/>
            <w:vAlign w:val="top"/>
          </w:tcPr>
          <w:p w14:paraId="0A2FCA62">
            <w:pPr>
              <w:pStyle w:val="6"/>
              <w:spacing w:before="208" w:line="227" w:lineRule="auto"/>
              <w:ind w:left="274"/>
            </w:pPr>
            <w:r>
              <w:rPr>
                <w:spacing w:val="-15"/>
              </w:rPr>
              <w:t>17</w:t>
            </w:r>
          </w:p>
        </w:tc>
        <w:tc>
          <w:tcPr>
            <w:tcW w:w="1525" w:type="dxa"/>
            <w:vAlign w:val="top"/>
          </w:tcPr>
          <w:p w14:paraId="4C92B00D">
            <w:pPr>
              <w:pStyle w:val="6"/>
              <w:spacing w:before="209" w:line="225" w:lineRule="auto"/>
              <w:ind w:left="140"/>
            </w:pPr>
            <w:r>
              <w:rPr>
                <w:spacing w:val="-6"/>
              </w:rPr>
              <w:t>ZXKT2025282</w:t>
            </w:r>
          </w:p>
        </w:tc>
        <w:tc>
          <w:tcPr>
            <w:tcW w:w="4617" w:type="dxa"/>
            <w:vAlign w:val="top"/>
          </w:tcPr>
          <w:p w14:paraId="4BC3F7A9">
            <w:pPr>
              <w:pStyle w:val="6"/>
              <w:spacing w:before="51" w:line="205" w:lineRule="auto"/>
              <w:ind w:left="111" w:right="309" w:hanging="2"/>
            </w:pPr>
            <w:r>
              <w:rPr>
                <w:spacing w:val="9"/>
              </w:rPr>
              <w:t>运河经济带文化遗产的数字化转译与文旅价值</w:t>
            </w:r>
            <w:r>
              <w:rPr>
                <w:spacing w:val="7"/>
              </w:rPr>
              <w:t>提升研究——以运河聊城段为例</w:t>
            </w:r>
          </w:p>
        </w:tc>
        <w:tc>
          <w:tcPr>
            <w:tcW w:w="966" w:type="dxa"/>
            <w:vAlign w:val="top"/>
          </w:tcPr>
          <w:p w14:paraId="33F85191">
            <w:pPr>
              <w:pStyle w:val="6"/>
              <w:spacing w:before="209" w:line="207" w:lineRule="auto"/>
              <w:ind w:left="277"/>
            </w:pPr>
            <w:r>
              <w:rPr>
                <w:spacing w:val="5"/>
              </w:rPr>
              <w:t>夏宁</w:t>
            </w:r>
          </w:p>
        </w:tc>
        <w:tc>
          <w:tcPr>
            <w:tcW w:w="2127" w:type="dxa"/>
            <w:vAlign w:val="top"/>
          </w:tcPr>
          <w:p w14:paraId="23E2D3E2">
            <w:pPr>
              <w:pStyle w:val="6"/>
              <w:spacing w:before="208" w:line="208" w:lineRule="auto"/>
              <w:ind w:left="112"/>
            </w:pPr>
            <w:r>
              <w:rPr>
                <w:spacing w:val="9"/>
              </w:rPr>
              <w:t>聊城大学季羡林学院</w:t>
            </w:r>
          </w:p>
        </w:tc>
        <w:tc>
          <w:tcPr>
            <w:tcW w:w="2126" w:type="dxa"/>
            <w:vAlign w:val="top"/>
          </w:tcPr>
          <w:p w14:paraId="58EABA20">
            <w:pPr>
              <w:pStyle w:val="6"/>
              <w:spacing w:before="208" w:line="208" w:lineRule="auto"/>
              <w:ind w:left="111"/>
            </w:pPr>
            <w:r>
              <w:rPr>
                <w:spacing w:val="9"/>
              </w:rPr>
              <w:t>市级报纸理论版发表</w:t>
            </w:r>
          </w:p>
        </w:tc>
        <w:tc>
          <w:tcPr>
            <w:tcW w:w="826" w:type="dxa"/>
            <w:vAlign w:val="top"/>
          </w:tcPr>
          <w:p w14:paraId="2397F8A4">
            <w:pPr>
              <w:pStyle w:val="6"/>
              <w:spacing w:before="209" w:line="208" w:lineRule="auto"/>
              <w:ind w:left="207"/>
            </w:pPr>
            <w:r>
              <w:rPr>
                <w:spacing w:val="6"/>
              </w:rPr>
              <w:t>一般</w:t>
            </w:r>
          </w:p>
        </w:tc>
        <w:tc>
          <w:tcPr>
            <w:tcW w:w="752" w:type="dxa"/>
            <w:vAlign w:val="top"/>
          </w:tcPr>
          <w:p w14:paraId="32E1FA34">
            <w:pPr>
              <w:pStyle w:val="6"/>
              <w:spacing w:before="208" w:line="208" w:lineRule="auto"/>
              <w:ind w:left="167"/>
            </w:pPr>
            <w:r>
              <w:rPr>
                <w:spacing w:val="6"/>
              </w:rPr>
              <w:t>优秀</w:t>
            </w:r>
          </w:p>
        </w:tc>
      </w:tr>
      <w:tr w14:paraId="7C4E3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34" w:type="dxa"/>
            <w:vAlign w:val="top"/>
          </w:tcPr>
          <w:p w14:paraId="0F91F6CE">
            <w:pPr>
              <w:pStyle w:val="6"/>
              <w:spacing w:before="209" w:line="225" w:lineRule="auto"/>
              <w:ind w:left="274"/>
            </w:pPr>
            <w:r>
              <w:rPr>
                <w:spacing w:val="-15"/>
              </w:rPr>
              <w:t>18</w:t>
            </w:r>
          </w:p>
        </w:tc>
        <w:tc>
          <w:tcPr>
            <w:tcW w:w="1525" w:type="dxa"/>
            <w:vAlign w:val="top"/>
          </w:tcPr>
          <w:p w14:paraId="5DDEB565">
            <w:pPr>
              <w:pStyle w:val="6"/>
              <w:spacing w:before="208" w:line="225" w:lineRule="auto"/>
              <w:ind w:left="140"/>
            </w:pPr>
            <w:r>
              <w:rPr>
                <w:spacing w:val="-6"/>
              </w:rPr>
              <w:t>ZXKT2025284</w:t>
            </w:r>
          </w:p>
        </w:tc>
        <w:tc>
          <w:tcPr>
            <w:tcW w:w="4617" w:type="dxa"/>
            <w:vAlign w:val="top"/>
          </w:tcPr>
          <w:p w14:paraId="040BEB5F">
            <w:pPr>
              <w:pStyle w:val="6"/>
              <w:spacing w:before="52" w:line="205" w:lineRule="auto"/>
              <w:ind w:left="108" w:right="107" w:firstLine="8"/>
            </w:pPr>
            <w:r>
              <w:rPr>
                <w:spacing w:val="9"/>
              </w:rPr>
              <w:t>乡村振兴背景下</w:t>
            </w:r>
            <w:r>
              <w:rPr>
                <w:spacing w:val="-20"/>
              </w:rPr>
              <w:t xml:space="preserve"> </w:t>
            </w:r>
            <w:r>
              <w:t>SET</w:t>
            </w:r>
            <w:r>
              <w:rPr>
                <w:spacing w:val="-25"/>
              </w:rPr>
              <w:t xml:space="preserve"> </w:t>
            </w:r>
            <w:r>
              <w:rPr>
                <w:spacing w:val="9"/>
              </w:rPr>
              <w:t>模式提升聊城新农人培养质</w:t>
            </w:r>
            <w:r>
              <w:rPr>
                <w:spacing w:val="8"/>
              </w:rPr>
              <w:t>量的路径研究</w:t>
            </w:r>
          </w:p>
        </w:tc>
        <w:tc>
          <w:tcPr>
            <w:tcW w:w="966" w:type="dxa"/>
            <w:vAlign w:val="top"/>
          </w:tcPr>
          <w:p w14:paraId="102255CF">
            <w:pPr>
              <w:pStyle w:val="6"/>
              <w:spacing w:before="209" w:line="208" w:lineRule="auto"/>
              <w:ind w:left="168"/>
            </w:pPr>
            <w:r>
              <w:rPr>
                <w:spacing w:val="8"/>
              </w:rPr>
              <w:t>刘淑新</w:t>
            </w:r>
          </w:p>
        </w:tc>
        <w:tc>
          <w:tcPr>
            <w:tcW w:w="2127" w:type="dxa"/>
            <w:vAlign w:val="top"/>
          </w:tcPr>
          <w:p w14:paraId="7E565230">
            <w:pPr>
              <w:pStyle w:val="6"/>
              <w:spacing w:before="208" w:line="208" w:lineRule="auto"/>
              <w:ind w:left="112"/>
            </w:pPr>
            <w:r>
              <w:rPr>
                <w:spacing w:val="9"/>
              </w:rPr>
              <w:t>聊城大学季羡林学院</w:t>
            </w:r>
          </w:p>
        </w:tc>
        <w:tc>
          <w:tcPr>
            <w:tcW w:w="2126" w:type="dxa"/>
            <w:vAlign w:val="top"/>
          </w:tcPr>
          <w:p w14:paraId="498B94B4">
            <w:pPr>
              <w:pStyle w:val="6"/>
              <w:spacing w:before="208" w:line="208" w:lineRule="auto"/>
              <w:ind w:left="111"/>
            </w:pPr>
            <w:r>
              <w:rPr>
                <w:spacing w:val="9"/>
              </w:rPr>
              <w:t>市级报纸理论版发表</w:t>
            </w:r>
          </w:p>
        </w:tc>
        <w:tc>
          <w:tcPr>
            <w:tcW w:w="826" w:type="dxa"/>
            <w:vAlign w:val="top"/>
          </w:tcPr>
          <w:p w14:paraId="3EB6A4A1">
            <w:pPr>
              <w:pStyle w:val="6"/>
              <w:spacing w:before="209" w:line="208" w:lineRule="auto"/>
              <w:ind w:left="207"/>
            </w:pPr>
            <w:r>
              <w:rPr>
                <w:spacing w:val="6"/>
              </w:rPr>
              <w:t>一般</w:t>
            </w:r>
          </w:p>
        </w:tc>
        <w:tc>
          <w:tcPr>
            <w:tcW w:w="752" w:type="dxa"/>
            <w:vAlign w:val="top"/>
          </w:tcPr>
          <w:p w14:paraId="07DCD1B9">
            <w:pPr>
              <w:pStyle w:val="6"/>
              <w:spacing w:before="208" w:line="208" w:lineRule="auto"/>
              <w:ind w:left="167"/>
            </w:pPr>
            <w:r>
              <w:rPr>
                <w:spacing w:val="6"/>
              </w:rPr>
              <w:t>优秀</w:t>
            </w:r>
          </w:p>
        </w:tc>
      </w:tr>
      <w:tr w14:paraId="3BF0B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34" w:type="dxa"/>
            <w:vAlign w:val="top"/>
          </w:tcPr>
          <w:p w14:paraId="1682DD4C">
            <w:pPr>
              <w:pStyle w:val="6"/>
              <w:spacing w:before="210" w:line="225" w:lineRule="auto"/>
              <w:ind w:left="274"/>
            </w:pPr>
            <w:r>
              <w:rPr>
                <w:spacing w:val="-15"/>
              </w:rPr>
              <w:t>19</w:t>
            </w:r>
          </w:p>
        </w:tc>
        <w:tc>
          <w:tcPr>
            <w:tcW w:w="1525" w:type="dxa"/>
            <w:vAlign w:val="top"/>
          </w:tcPr>
          <w:p w14:paraId="095D04C2">
            <w:pPr>
              <w:pStyle w:val="6"/>
              <w:spacing w:before="210" w:line="225" w:lineRule="auto"/>
              <w:ind w:left="140"/>
            </w:pPr>
            <w:r>
              <w:rPr>
                <w:spacing w:val="-6"/>
              </w:rPr>
              <w:t>ZXKT2025285</w:t>
            </w:r>
          </w:p>
        </w:tc>
        <w:tc>
          <w:tcPr>
            <w:tcW w:w="4617" w:type="dxa"/>
            <w:vAlign w:val="top"/>
          </w:tcPr>
          <w:p w14:paraId="4585EA2F">
            <w:pPr>
              <w:pStyle w:val="6"/>
              <w:spacing w:before="52" w:line="205" w:lineRule="auto"/>
              <w:ind w:left="109" w:right="105"/>
            </w:pPr>
            <w:r>
              <w:rPr>
                <w:spacing w:val="8"/>
              </w:rPr>
              <w:t>“两河文化</w:t>
            </w:r>
            <w:r>
              <w:rPr>
                <w:spacing w:val="-31"/>
              </w:rPr>
              <w:t xml:space="preserve"> </w:t>
            </w:r>
            <w:r>
              <w:rPr>
                <w:spacing w:val="8"/>
              </w:rPr>
              <w:t>”视域下聊城历史名人当代价值转化</w:t>
            </w:r>
            <w:r>
              <w:rPr>
                <w:spacing w:val="9"/>
              </w:rPr>
              <w:t>利用及实践路径研究</w:t>
            </w:r>
          </w:p>
        </w:tc>
        <w:tc>
          <w:tcPr>
            <w:tcW w:w="966" w:type="dxa"/>
            <w:vAlign w:val="top"/>
          </w:tcPr>
          <w:p w14:paraId="08D5A5DB">
            <w:pPr>
              <w:pStyle w:val="6"/>
              <w:spacing w:before="210" w:line="208" w:lineRule="auto"/>
              <w:ind w:left="275"/>
            </w:pPr>
            <w:r>
              <w:rPr>
                <w:spacing w:val="6"/>
              </w:rPr>
              <w:t>韩璐</w:t>
            </w:r>
          </w:p>
        </w:tc>
        <w:tc>
          <w:tcPr>
            <w:tcW w:w="2127" w:type="dxa"/>
            <w:vAlign w:val="top"/>
          </w:tcPr>
          <w:p w14:paraId="226067B8">
            <w:pPr>
              <w:pStyle w:val="6"/>
              <w:spacing w:before="209" w:line="208" w:lineRule="auto"/>
              <w:ind w:left="112"/>
            </w:pPr>
            <w:r>
              <w:rPr>
                <w:spacing w:val="9"/>
              </w:rPr>
              <w:t>聊城大学季羡林学院</w:t>
            </w:r>
          </w:p>
        </w:tc>
        <w:tc>
          <w:tcPr>
            <w:tcW w:w="2126" w:type="dxa"/>
            <w:vAlign w:val="top"/>
          </w:tcPr>
          <w:p w14:paraId="79A48CC3">
            <w:pPr>
              <w:pStyle w:val="6"/>
              <w:spacing w:before="209" w:line="208" w:lineRule="auto"/>
              <w:ind w:left="115"/>
            </w:pPr>
            <w:r>
              <w:rPr>
                <w:spacing w:val="8"/>
              </w:rPr>
              <w:t>副市厅级领导签批</w:t>
            </w:r>
          </w:p>
        </w:tc>
        <w:tc>
          <w:tcPr>
            <w:tcW w:w="826" w:type="dxa"/>
            <w:vAlign w:val="top"/>
          </w:tcPr>
          <w:p w14:paraId="16437BE7">
            <w:pPr>
              <w:pStyle w:val="6"/>
              <w:spacing w:before="210" w:line="208" w:lineRule="auto"/>
              <w:ind w:left="207"/>
            </w:pPr>
            <w:r>
              <w:rPr>
                <w:spacing w:val="6"/>
              </w:rPr>
              <w:t>一般</w:t>
            </w:r>
          </w:p>
        </w:tc>
        <w:tc>
          <w:tcPr>
            <w:tcW w:w="752" w:type="dxa"/>
            <w:vAlign w:val="top"/>
          </w:tcPr>
          <w:p w14:paraId="06FD22CA">
            <w:pPr>
              <w:pStyle w:val="6"/>
              <w:spacing w:before="209" w:line="208" w:lineRule="auto"/>
              <w:ind w:left="167"/>
            </w:pPr>
            <w:r>
              <w:rPr>
                <w:spacing w:val="6"/>
              </w:rPr>
              <w:t>优秀</w:t>
            </w:r>
          </w:p>
        </w:tc>
      </w:tr>
      <w:tr w14:paraId="2F9A2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734" w:type="dxa"/>
            <w:vAlign w:val="top"/>
          </w:tcPr>
          <w:p w14:paraId="2BDD6A9D">
            <w:pPr>
              <w:pStyle w:val="6"/>
              <w:spacing w:before="209" w:line="225" w:lineRule="auto"/>
              <w:ind w:left="266"/>
            </w:pPr>
            <w:r>
              <w:rPr>
                <w:spacing w:val="-11"/>
              </w:rPr>
              <w:t>20</w:t>
            </w:r>
          </w:p>
        </w:tc>
        <w:tc>
          <w:tcPr>
            <w:tcW w:w="1525" w:type="dxa"/>
            <w:vAlign w:val="top"/>
          </w:tcPr>
          <w:p w14:paraId="7E830B76">
            <w:pPr>
              <w:pStyle w:val="6"/>
              <w:spacing w:before="208" w:line="225" w:lineRule="auto"/>
              <w:ind w:left="140"/>
            </w:pPr>
            <w:r>
              <w:rPr>
                <w:spacing w:val="-6"/>
              </w:rPr>
              <w:t>ZXKT2025286</w:t>
            </w:r>
          </w:p>
        </w:tc>
        <w:tc>
          <w:tcPr>
            <w:tcW w:w="4617" w:type="dxa"/>
            <w:vAlign w:val="top"/>
          </w:tcPr>
          <w:p w14:paraId="5EA900AE">
            <w:pPr>
              <w:pStyle w:val="6"/>
              <w:spacing w:before="53" w:line="206" w:lineRule="auto"/>
              <w:ind w:left="108" w:right="309" w:firstLine="1"/>
            </w:pPr>
            <w:r>
              <w:rPr>
                <w:spacing w:val="9"/>
              </w:rPr>
              <w:t>聊城市社会组织参与黄河流域生态环境治理促进高质量发展研究</w:t>
            </w:r>
          </w:p>
        </w:tc>
        <w:tc>
          <w:tcPr>
            <w:tcW w:w="966" w:type="dxa"/>
            <w:vAlign w:val="top"/>
          </w:tcPr>
          <w:p w14:paraId="18E2F4AB">
            <w:pPr>
              <w:pStyle w:val="6"/>
              <w:spacing w:before="209" w:line="207" w:lineRule="auto"/>
              <w:ind w:left="190"/>
            </w:pPr>
            <w:r>
              <w:rPr>
                <w:spacing w:val="1"/>
              </w:rPr>
              <w:t>向周舟</w:t>
            </w:r>
          </w:p>
        </w:tc>
        <w:tc>
          <w:tcPr>
            <w:tcW w:w="2127" w:type="dxa"/>
            <w:vAlign w:val="top"/>
          </w:tcPr>
          <w:p w14:paraId="30E69751">
            <w:pPr>
              <w:pStyle w:val="6"/>
              <w:spacing w:before="208" w:line="208" w:lineRule="auto"/>
              <w:ind w:left="112"/>
            </w:pPr>
            <w:r>
              <w:rPr>
                <w:spacing w:val="9"/>
              </w:rPr>
              <w:t>聊城大学季羡林学院</w:t>
            </w:r>
          </w:p>
        </w:tc>
        <w:tc>
          <w:tcPr>
            <w:tcW w:w="2126" w:type="dxa"/>
            <w:vAlign w:val="top"/>
          </w:tcPr>
          <w:p w14:paraId="06BE0C41">
            <w:pPr>
              <w:pStyle w:val="6"/>
              <w:spacing w:before="208" w:line="208" w:lineRule="auto"/>
              <w:ind w:left="115"/>
            </w:pPr>
            <w:r>
              <w:rPr>
                <w:spacing w:val="8"/>
              </w:rPr>
              <w:t>副市厅级领导签批</w:t>
            </w:r>
          </w:p>
        </w:tc>
        <w:tc>
          <w:tcPr>
            <w:tcW w:w="826" w:type="dxa"/>
            <w:vAlign w:val="top"/>
          </w:tcPr>
          <w:p w14:paraId="0E7D3D86">
            <w:pPr>
              <w:pStyle w:val="6"/>
              <w:spacing w:before="209" w:line="208" w:lineRule="auto"/>
              <w:ind w:left="207"/>
            </w:pPr>
            <w:r>
              <w:rPr>
                <w:spacing w:val="6"/>
              </w:rPr>
              <w:t>一般</w:t>
            </w:r>
          </w:p>
        </w:tc>
        <w:tc>
          <w:tcPr>
            <w:tcW w:w="752" w:type="dxa"/>
            <w:vAlign w:val="top"/>
          </w:tcPr>
          <w:p w14:paraId="563392F0">
            <w:pPr>
              <w:pStyle w:val="6"/>
              <w:spacing w:before="208" w:line="208" w:lineRule="auto"/>
              <w:ind w:left="167"/>
            </w:pPr>
            <w:r>
              <w:rPr>
                <w:spacing w:val="6"/>
              </w:rPr>
              <w:t>优秀</w:t>
            </w:r>
          </w:p>
        </w:tc>
      </w:tr>
    </w:tbl>
    <w:p w14:paraId="5DCA5746">
      <w:pPr>
        <w:rPr>
          <w:rFonts w:ascii="Arial"/>
          <w:sz w:val="21"/>
        </w:rPr>
      </w:pPr>
    </w:p>
    <w:p w14:paraId="065B5CB3">
      <w:pPr>
        <w:rPr>
          <w:rFonts w:ascii="Arial" w:hAnsi="Arial" w:eastAsia="Arial" w:cs="Arial"/>
          <w:sz w:val="21"/>
          <w:szCs w:val="21"/>
        </w:rPr>
        <w:sectPr>
          <w:footerReference r:id="rId8" w:type="default"/>
          <w:pgSz w:w="16839" w:h="11906"/>
          <w:pgMar w:top="1012" w:right="1592" w:bottom="1168" w:left="1567" w:header="0" w:footer="997" w:gutter="0"/>
          <w:cols w:space="720" w:num="1"/>
        </w:sectPr>
      </w:pPr>
    </w:p>
    <w:p w14:paraId="2054A716">
      <w:pPr>
        <w:spacing w:before="3"/>
      </w:pPr>
    </w:p>
    <w:p w14:paraId="127EABF1">
      <w:pPr>
        <w:spacing w:before="3"/>
      </w:pPr>
    </w:p>
    <w:p w14:paraId="45E704BF">
      <w:pPr>
        <w:spacing w:before="3"/>
      </w:pPr>
    </w:p>
    <w:p w14:paraId="76FA2BF4">
      <w:pPr>
        <w:spacing w:before="3"/>
      </w:pPr>
    </w:p>
    <w:p w14:paraId="06D0B5E6">
      <w:pPr>
        <w:spacing w:before="3"/>
      </w:pPr>
    </w:p>
    <w:p w14:paraId="33787777">
      <w:pPr>
        <w:spacing w:before="3"/>
      </w:pPr>
    </w:p>
    <w:p w14:paraId="1E647081">
      <w:pPr>
        <w:spacing w:before="3"/>
      </w:pPr>
    </w:p>
    <w:p w14:paraId="6EFBCA9F">
      <w:pPr>
        <w:spacing w:before="3"/>
      </w:pPr>
    </w:p>
    <w:p w14:paraId="3D732AF1">
      <w:pPr>
        <w:spacing w:before="3"/>
      </w:pPr>
    </w:p>
    <w:p w14:paraId="056B06FD">
      <w:pPr>
        <w:spacing w:before="2"/>
      </w:pPr>
    </w:p>
    <w:p w14:paraId="5ECCD57A">
      <w:pPr>
        <w:spacing w:before="2"/>
      </w:pPr>
    </w:p>
    <w:p w14:paraId="755814AA">
      <w:pPr>
        <w:spacing w:before="2"/>
      </w:pPr>
    </w:p>
    <w:p w14:paraId="56EE873A">
      <w:pPr>
        <w:spacing w:before="2"/>
      </w:pPr>
    </w:p>
    <w:p w14:paraId="740FD390">
      <w:pPr>
        <w:spacing w:before="2"/>
      </w:pPr>
    </w:p>
    <w:p w14:paraId="4158FC17">
      <w:pPr>
        <w:spacing w:before="2"/>
      </w:pPr>
    </w:p>
    <w:p w14:paraId="47DC87B7">
      <w:pPr>
        <w:spacing w:before="2"/>
      </w:pPr>
    </w:p>
    <w:p w14:paraId="3FB44E6C">
      <w:pPr>
        <w:spacing w:before="2"/>
      </w:pPr>
    </w:p>
    <w:p w14:paraId="754346FA">
      <w:pPr>
        <w:spacing w:before="2"/>
      </w:pPr>
    </w:p>
    <w:p w14:paraId="20485983">
      <w:pPr>
        <w:spacing w:before="2"/>
      </w:pPr>
    </w:p>
    <w:p w14:paraId="6B60B6D7">
      <w:pPr>
        <w:spacing w:before="2"/>
      </w:pPr>
    </w:p>
    <w:p w14:paraId="422F9D37">
      <w:pPr>
        <w:spacing w:before="2"/>
      </w:pPr>
    </w:p>
    <w:p w14:paraId="2596F34A">
      <w:pPr>
        <w:spacing w:before="2"/>
      </w:pPr>
    </w:p>
    <w:p w14:paraId="62AD6773">
      <w:pPr>
        <w:spacing w:before="2"/>
      </w:pPr>
    </w:p>
    <w:p w14:paraId="11FFC166">
      <w:pPr>
        <w:spacing w:before="2"/>
      </w:pPr>
    </w:p>
    <w:p w14:paraId="4FF428F9">
      <w:pPr>
        <w:spacing w:before="2"/>
      </w:pPr>
    </w:p>
    <w:p w14:paraId="6B64B0F0">
      <w:pPr>
        <w:spacing w:before="2"/>
      </w:pPr>
    </w:p>
    <w:p w14:paraId="7EB6A614">
      <w:pPr>
        <w:spacing w:before="2"/>
      </w:pPr>
    </w:p>
    <w:p w14:paraId="3D5D80B9">
      <w:pPr>
        <w:spacing w:before="2"/>
      </w:pPr>
    </w:p>
    <w:p w14:paraId="7A51EC31">
      <w:pPr>
        <w:spacing w:before="2"/>
      </w:pPr>
    </w:p>
    <w:p w14:paraId="1C0CF8AB">
      <w:pPr>
        <w:spacing w:before="2"/>
      </w:pPr>
    </w:p>
    <w:p w14:paraId="3253A4C1">
      <w:pPr>
        <w:spacing w:before="2"/>
      </w:pPr>
    </w:p>
    <w:p w14:paraId="23956494">
      <w:pPr>
        <w:spacing w:before="2"/>
      </w:pPr>
    </w:p>
    <w:p w14:paraId="52B854D7">
      <w:pPr>
        <w:spacing w:before="2"/>
      </w:pPr>
    </w:p>
    <w:p w14:paraId="5BF3010C">
      <w:pPr>
        <w:spacing w:before="2"/>
      </w:pPr>
    </w:p>
    <w:p w14:paraId="4BAB5D78">
      <w:pPr>
        <w:spacing w:before="2"/>
      </w:pPr>
    </w:p>
    <w:p w14:paraId="65776F33">
      <w:pPr>
        <w:spacing w:before="2"/>
      </w:pPr>
    </w:p>
    <w:p w14:paraId="32B1F164">
      <w:pPr>
        <w:spacing w:before="2"/>
      </w:pPr>
    </w:p>
    <w:p w14:paraId="756A6298">
      <w:pPr>
        <w:spacing w:before="2"/>
      </w:pPr>
    </w:p>
    <w:p w14:paraId="6DFDEE4D">
      <w:pPr>
        <w:spacing w:before="2"/>
      </w:pPr>
    </w:p>
    <w:p w14:paraId="214D933A">
      <w:pPr>
        <w:spacing w:before="2"/>
      </w:pPr>
    </w:p>
    <w:p w14:paraId="71C62AA2">
      <w:pPr>
        <w:spacing w:before="2"/>
      </w:pPr>
    </w:p>
    <w:p w14:paraId="4A0B967E">
      <w:pPr>
        <w:spacing w:before="2"/>
      </w:pPr>
    </w:p>
    <w:p w14:paraId="2AE45F07">
      <w:pPr>
        <w:spacing w:before="2"/>
      </w:pPr>
    </w:p>
    <w:p w14:paraId="13F1222B">
      <w:pPr>
        <w:spacing w:before="2"/>
      </w:pPr>
    </w:p>
    <w:p w14:paraId="6BDF5D81">
      <w:pPr>
        <w:spacing w:before="2"/>
      </w:pPr>
    </w:p>
    <w:p w14:paraId="7933772F">
      <w:pPr>
        <w:spacing w:before="2"/>
      </w:pPr>
    </w:p>
    <w:p w14:paraId="226BFC28">
      <w:pPr>
        <w:spacing w:before="2"/>
      </w:pPr>
    </w:p>
    <w:p w14:paraId="661B235A">
      <w:pPr>
        <w:spacing w:before="2"/>
      </w:pPr>
    </w:p>
    <w:p w14:paraId="44293C83">
      <w:pPr>
        <w:spacing w:before="2"/>
      </w:pPr>
    </w:p>
    <w:p w14:paraId="0C3D7453">
      <w:pPr>
        <w:spacing w:before="2"/>
      </w:pPr>
    </w:p>
    <w:p w14:paraId="0E70DCB8">
      <w:pPr>
        <w:spacing w:before="2"/>
      </w:pPr>
    </w:p>
    <w:p w14:paraId="067643BC">
      <w:pPr>
        <w:spacing w:before="2"/>
      </w:pPr>
    </w:p>
    <w:p w14:paraId="1D2C359F">
      <w:pPr>
        <w:spacing w:before="2"/>
      </w:pPr>
    </w:p>
    <w:tbl>
      <w:tblPr>
        <w:tblStyle w:val="5"/>
        <w:tblW w:w="871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142"/>
        <w:gridCol w:w="4573"/>
      </w:tblGrid>
      <w:tr w14:paraId="5B9997C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6" w:hRule="atLeast"/>
        </w:trPr>
        <w:tc>
          <w:tcPr>
            <w:tcW w:w="4142" w:type="dxa"/>
            <w:tcBorders>
              <w:top w:val="single" w:color="000000" w:sz="8" w:space="0"/>
              <w:bottom w:val="single" w:color="000000" w:sz="8" w:space="0"/>
            </w:tcBorders>
            <w:vAlign w:val="top"/>
          </w:tcPr>
          <w:p w14:paraId="56E960F0">
            <w:pPr>
              <w:spacing w:before="160" w:line="222" w:lineRule="auto"/>
              <w:ind w:left="120"/>
              <w:rPr>
                <w:rFonts w:ascii="仿宋" w:hAnsi="仿宋" w:eastAsia="仿宋" w:cs="仿宋"/>
                <w:sz w:val="31"/>
                <w:szCs w:val="31"/>
              </w:rPr>
            </w:pPr>
            <w:r>
              <w:rPr>
                <w:rFonts w:ascii="仿宋" w:hAnsi="仿宋" w:eastAsia="仿宋" w:cs="仿宋"/>
                <w:spacing w:val="8"/>
                <w:sz w:val="31"/>
                <w:szCs w:val="31"/>
              </w:rPr>
              <w:t>聊城市社科联办公室</w:t>
            </w:r>
          </w:p>
        </w:tc>
        <w:tc>
          <w:tcPr>
            <w:tcW w:w="4573" w:type="dxa"/>
            <w:tcBorders>
              <w:top w:val="single" w:color="000000" w:sz="8" w:space="0"/>
              <w:bottom w:val="single" w:color="000000" w:sz="8" w:space="0"/>
            </w:tcBorders>
            <w:vAlign w:val="top"/>
          </w:tcPr>
          <w:p w14:paraId="60553E3E">
            <w:pPr>
              <w:spacing w:before="158" w:line="222" w:lineRule="auto"/>
              <w:ind w:left="1300"/>
              <w:rPr>
                <w:rFonts w:ascii="仿宋" w:hAnsi="仿宋" w:eastAsia="仿宋" w:cs="仿宋"/>
                <w:sz w:val="31"/>
                <w:szCs w:val="31"/>
              </w:rPr>
            </w:pPr>
            <w:r>
              <w:rPr>
                <w:rFonts w:ascii="仿宋" w:hAnsi="仿宋" w:eastAsia="仿宋" w:cs="仿宋"/>
                <w:spacing w:val="-10"/>
                <w:sz w:val="31"/>
                <w:szCs w:val="31"/>
              </w:rPr>
              <w:t>2026</w:t>
            </w:r>
            <w:r>
              <w:rPr>
                <w:rFonts w:ascii="仿宋" w:hAnsi="仿宋" w:eastAsia="仿宋" w:cs="仿宋"/>
                <w:spacing w:val="-44"/>
                <w:sz w:val="31"/>
                <w:szCs w:val="31"/>
              </w:rPr>
              <w:t xml:space="preserve"> </w:t>
            </w:r>
            <w:r>
              <w:rPr>
                <w:rFonts w:ascii="仿宋" w:hAnsi="仿宋" w:eastAsia="仿宋" w:cs="仿宋"/>
                <w:spacing w:val="-10"/>
                <w:sz w:val="31"/>
                <w:szCs w:val="31"/>
              </w:rPr>
              <w:t>年</w:t>
            </w:r>
            <w:r>
              <w:rPr>
                <w:rFonts w:ascii="仿宋" w:hAnsi="仿宋" w:eastAsia="仿宋" w:cs="仿宋"/>
                <w:spacing w:val="-48"/>
                <w:sz w:val="31"/>
                <w:szCs w:val="31"/>
              </w:rPr>
              <w:t xml:space="preserve"> </w:t>
            </w:r>
            <w:r>
              <w:rPr>
                <w:rFonts w:ascii="仿宋" w:hAnsi="仿宋" w:eastAsia="仿宋" w:cs="仿宋"/>
                <w:spacing w:val="-10"/>
                <w:sz w:val="31"/>
                <w:szCs w:val="31"/>
              </w:rPr>
              <w:t>6</w:t>
            </w:r>
            <w:r>
              <w:rPr>
                <w:rFonts w:ascii="仿宋" w:hAnsi="仿宋" w:eastAsia="仿宋" w:cs="仿宋"/>
                <w:spacing w:val="-46"/>
                <w:sz w:val="31"/>
                <w:szCs w:val="31"/>
              </w:rPr>
              <w:t xml:space="preserve"> </w:t>
            </w:r>
            <w:r>
              <w:rPr>
                <w:rFonts w:ascii="仿宋" w:hAnsi="仿宋" w:eastAsia="仿宋" w:cs="仿宋"/>
                <w:spacing w:val="-10"/>
                <w:sz w:val="31"/>
                <w:szCs w:val="31"/>
              </w:rPr>
              <w:t>月</w:t>
            </w:r>
            <w:r>
              <w:rPr>
                <w:rFonts w:ascii="仿宋" w:hAnsi="仿宋" w:eastAsia="仿宋" w:cs="仿宋"/>
                <w:spacing w:val="-49"/>
                <w:sz w:val="31"/>
                <w:szCs w:val="31"/>
              </w:rPr>
              <w:t xml:space="preserve"> </w:t>
            </w:r>
            <w:r>
              <w:rPr>
                <w:rFonts w:ascii="仿宋" w:hAnsi="仿宋" w:eastAsia="仿宋" w:cs="仿宋"/>
                <w:spacing w:val="-10"/>
                <w:sz w:val="31"/>
                <w:szCs w:val="31"/>
              </w:rPr>
              <w:t>23 日印发</w:t>
            </w:r>
          </w:p>
        </w:tc>
      </w:tr>
    </w:tbl>
    <w:p w14:paraId="66A4A745">
      <w:pPr>
        <w:spacing w:line="310" w:lineRule="auto"/>
        <w:rPr>
          <w:rFonts w:ascii="Arial"/>
          <w:sz w:val="21"/>
        </w:rPr>
      </w:pPr>
    </w:p>
    <w:p w14:paraId="2943DCD7">
      <w:pPr>
        <w:spacing w:line="311" w:lineRule="auto"/>
        <w:rPr>
          <w:rFonts w:ascii="Arial"/>
          <w:sz w:val="21"/>
        </w:rPr>
      </w:pPr>
    </w:p>
    <w:p w14:paraId="7D3A23B6">
      <w:pPr>
        <w:spacing w:before="52" w:line="199" w:lineRule="auto"/>
        <w:ind w:left="4322"/>
        <w:rPr>
          <w:rFonts w:ascii="Arial" w:hAnsi="Arial" w:eastAsia="Arial" w:cs="Arial"/>
          <w:sz w:val="18"/>
          <w:szCs w:val="18"/>
        </w:rPr>
      </w:pPr>
      <w:r>
        <w:rPr>
          <w:rFonts w:ascii="Arial" w:hAnsi="Arial" w:eastAsia="Arial" w:cs="Arial"/>
          <w:sz w:val="18"/>
          <w:szCs w:val="18"/>
        </w:rPr>
        <w:t>5</w:t>
      </w:r>
    </w:p>
    <w:sectPr>
      <w:footerReference r:id="rId9" w:type="default"/>
      <w:pgSz w:w="11906" w:h="16839"/>
      <w:pgMar w:top="1431" w:right="1602" w:bottom="400" w:left="158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A61FC">
    <w:pPr>
      <w:spacing w:line="187" w:lineRule="auto"/>
      <w:ind w:left="4330"/>
      <w:rPr>
        <w:rFonts w:ascii="Arial" w:hAnsi="Arial" w:eastAsia="Arial" w:cs="Arial"/>
        <w:sz w:val="18"/>
        <w:szCs w:val="18"/>
      </w:rPr>
    </w:pPr>
    <w:r>
      <w:rPr>
        <w:rFonts w:ascii="Arial" w:hAnsi="Arial" w:eastAsia="Arial" w:cs="Arial"/>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C514D">
    <w:pPr>
      <w:spacing w:line="189" w:lineRule="auto"/>
      <w:ind w:left="4124"/>
      <w:rPr>
        <w:rFonts w:ascii="Arial" w:hAnsi="Arial" w:eastAsia="Arial" w:cs="Arial"/>
        <w:sz w:val="18"/>
        <w:szCs w:val="18"/>
      </w:rPr>
    </w:pPr>
    <w:r>
      <w:rPr>
        <w:rFonts w:ascii="Arial" w:hAnsi="Arial" w:eastAsia="Arial" w:cs="Arial"/>
        <w:spacing w:val="1"/>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E95B3">
    <w:pPr>
      <w:spacing w:line="189" w:lineRule="auto"/>
      <w:ind w:left="6750"/>
      <w:rPr>
        <w:rFonts w:ascii="Arial" w:hAnsi="Arial" w:eastAsia="Arial" w:cs="Arial"/>
        <w:sz w:val="18"/>
        <w:szCs w:val="18"/>
      </w:rPr>
    </w:pPr>
    <w:r>
      <w:rPr>
        <w:rFonts w:ascii="Arial" w:hAnsi="Arial" w:eastAsia="Arial" w:cs="Arial"/>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8E88F">
    <w:pPr>
      <w:spacing w:line="187" w:lineRule="auto"/>
      <w:ind w:left="6745"/>
      <w:rPr>
        <w:rFonts w:ascii="Arial" w:hAnsi="Arial" w:eastAsia="Arial" w:cs="Arial"/>
        <w:sz w:val="18"/>
        <w:szCs w:val="18"/>
      </w:rPr>
    </w:pPr>
    <w:r>
      <w:rPr>
        <w:rFonts w:ascii="Arial" w:hAnsi="Arial" w:eastAsia="Arial" w:cs="Arial"/>
        <w:spacing w:val="5"/>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9E850">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84651EB"/>
    <w:rsid w:val="4C5E4297"/>
    <w:rsid w:val="6FD874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1485</Words>
  <Characters>1736</Characters>
  <TotalTime>0</TotalTime>
  <ScaleCrop>false</ScaleCrop>
  <LinksUpToDate>false</LinksUpToDate>
  <CharactersWithSpaces>1780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2026-06-26T10:32:00Z</dcterms:created>
  <dc:creator>user</dc:creator>
  <cp:lastModifiedBy>NaNa</cp:lastModifiedBy>
  <dcterms:modified xsi:type="dcterms:W3CDTF">2026-06-29T03:26:02Z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2026-06-29T09:10:17Z</vt:filetime>
  </property>
  <property fmtid="{D5CDD505-2E9C-101B-9397-08002B2CF9AE}" pid="4" name="KSOTemplateDocerSaveRecord">
    <vt:lpwstr>eyJoZGlkIjoiY2VmMzM3MzhjMWJlOWE5MmFiNTljODY5OGQ2NmQ4NmIiLCJ1c2VySWQiOiIzNTQyNDk4MDYifQ==</vt:lpwstr>
  </property>
  <property fmtid="{D5CDD505-2E9C-101B-9397-08002B2CF9AE}" pid="5" name="KSOProductBuildVer">
    <vt:lpwstr>2052-12.1.0.26895</vt:lpwstr>
  </property>
  <property fmtid="{D5CDD505-2E9C-101B-9397-08002B2CF9AE}" pid="6" name="ICV">
    <vt:lpwstr>0D3BB757E87F4FE9B87A706298DC270D_12</vt:lpwstr>
  </property>
</Properties>
</file>